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367A43" w14:textId="05ED22A7" w:rsidR="007B6315" w:rsidRPr="00CA77B3" w:rsidRDefault="00027919" w:rsidP="002102FD">
      <w:pPr>
        <w:jc w:val="center"/>
        <w:rPr>
          <w:noProof/>
        </w:rPr>
      </w:pPr>
      <w:r w:rsidRPr="00CA77B3">
        <w:rPr>
          <w:noProof/>
        </w:rPr>
        <w:drawing>
          <wp:inline distT="0" distB="0" distL="0" distR="0" wp14:anchorId="0EC0E99C" wp14:editId="2B1CAB87">
            <wp:extent cx="2806700" cy="3251835"/>
            <wp:effectExtent l="0" t="0" r="0" b="0"/>
            <wp:docPr id="57" name="Immagine 7" descr="logo del Comune di Assago con gonfalone circondato da rami di allo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descr="logo del Comune di Assago con gonfalone circondato da rami di allor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06700" cy="3251835"/>
                    </a:xfrm>
                    <a:prstGeom prst="rect">
                      <a:avLst/>
                    </a:prstGeom>
                    <a:noFill/>
                    <a:ln>
                      <a:noFill/>
                    </a:ln>
                  </pic:spPr>
                </pic:pic>
              </a:graphicData>
            </a:graphic>
          </wp:inline>
        </w:drawing>
      </w:r>
    </w:p>
    <w:p w14:paraId="7180004F" w14:textId="77777777" w:rsidR="00EA7DC8" w:rsidRPr="00CA77B3" w:rsidRDefault="00EA7DC8" w:rsidP="002102FD">
      <w:pPr>
        <w:jc w:val="center"/>
        <w:rPr>
          <w:noProof/>
        </w:rPr>
      </w:pPr>
    </w:p>
    <w:p w14:paraId="5E87FAE5" w14:textId="77777777" w:rsidR="00EA7DC8" w:rsidRPr="00CA77B3" w:rsidRDefault="00EA7DC8" w:rsidP="002102FD">
      <w:pPr>
        <w:jc w:val="center"/>
      </w:pPr>
    </w:p>
    <w:p w14:paraId="72FD1668" w14:textId="77777777" w:rsidR="007B6315" w:rsidRPr="00CA77B3" w:rsidRDefault="007B6315" w:rsidP="007B6315"/>
    <w:p w14:paraId="72518B37" w14:textId="77777777" w:rsidR="007B6315" w:rsidRPr="00CA77B3" w:rsidRDefault="007B6315" w:rsidP="007B6315">
      <w:pPr>
        <w:pStyle w:val="Rientrocorpodeltesto"/>
        <w:ind w:left="-142" w:firstLine="142"/>
        <w:jc w:val="center"/>
        <w:rPr>
          <w:b/>
          <w:i/>
          <w:sz w:val="36"/>
          <w:szCs w:val="36"/>
        </w:rPr>
      </w:pPr>
      <w:r w:rsidRPr="00CA77B3">
        <w:rPr>
          <w:b/>
          <w:i/>
          <w:sz w:val="36"/>
          <w:szCs w:val="36"/>
        </w:rPr>
        <w:t>NOTA INTEGRATIVA SUL BILANCIO DI PREVISIONE 20</w:t>
      </w:r>
      <w:r w:rsidR="006C790F" w:rsidRPr="00CA77B3">
        <w:rPr>
          <w:b/>
          <w:i/>
          <w:sz w:val="36"/>
          <w:szCs w:val="36"/>
        </w:rPr>
        <w:t>2</w:t>
      </w:r>
      <w:r w:rsidR="004843B5" w:rsidRPr="00CA77B3">
        <w:rPr>
          <w:b/>
          <w:i/>
          <w:sz w:val="36"/>
          <w:szCs w:val="36"/>
        </w:rPr>
        <w:t>6</w:t>
      </w:r>
      <w:r w:rsidRPr="00CA77B3">
        <w:rPr>
          <w:b/>
          <w:i/>
          <w:sz w:val="36"/>
          <w:szCs w:val="36"/>
        </w:rPr>
        <w:t>-20</w:t>
      </w:r>
      <w:r w:rsidR="0000733D" w:rsidRPr="00CA77B3">
        <w:rPr>
          <w:b/>
          <w:i/>
          <w:sz w:val="36"/>
          <w:szCs w:val="36"/>
        </w:rPr>
        <w:t>2</w:t>
      </w:r>
      <w:r w:rsidR="004843B5" w:rsidRPr="00CA77B3">
        <w:rPr>
          <w:b/>
          <w:i/>
          <w:sz w:val="36"/>
          <w:szCs w:val="36"/>
        </w:rPr>
        <w:t>8</w:t>
      </w:r>
    </w:p>
    <w:p w14:paraId="3E5E6B30" w14:textId="77777777" w:rsidR="00EA7DC8" w:rsidRPr="00CA77B3" w:rsidRDefault="00EA7DC8" w:rsidP="007B6315"/>
    <w:p w14:paraId="26A87044" w14:textId="77777777" w:rsidR="007B6315" w:rsidRPr="00CA77B3" w:rsidRDefault="007B6315" w:rsidP="007B6315"/>
    <w:p w14:paraId="2A02DA8C" w14:textId="77777777" w:rsidR="00605951" w:rsidRPr="00CA77B3" w:rsidRDefault="00605951" w:rsidP="007B6315"/>
    <w:p w14:paraId="3527E018" w14:textId="77777777" w:rsidR="00605951" w:rsidRPr="00CA77B3" w:rsidRDefault="00605951" w:rsidP="007B6315"/>
    <w:p w14:paraId="2BF33DED" w14:textId="77777777" w:rsidR="00605951" w:rsidRPr="00CA77B3" w:rsidRDefault="00605951" w:rsidP="007B6315"/>
    <w:p w14:paraId="41BCE08F" w14:textId="77777777" w:rsidR="00605951" w:rsidRPr="00CA77B3" w:rsidRDefault="00605951" w:rsidP="007B6315"/>
    <w:p w14:paraId="3C16DF15" w14:textId="77777777" w:rsidR="00605951" w:rsidRPr="00CA77B3" w:rsidRDefault="00605951" w:rsidP="007B6315"/>
    <w:p w14:paraId="3E9A8736" w14:textId="77777777" w:rsidR="00605951" w:rsidRPr="00CA77B3" w:rsidRDefault="00605951" w:rsidP="007B6315"/>
    <w:p w14:paraId="00BEA5DD" w14:textId="77777777" w:rsidR="00605951" w:rsidRPr="00CA77B3" w:rsidRDefault="00605951" w:rsidP="007B6315"/>
    <w:p w14:paraId="3A18D036" w14:textId="77777777" w:rsidR="00605951" w:rsidRDefault="00605951" w:rsidP="007B6315"/>
    <w:p w14:paraId="1499FAE6" w14:textId="77777777" w:rsidR="00CA77B3" w:rsidRDefault="00CA77B3" w:rsidP="007B6315"/>
    <w:p w14:paraId="5C156D0F" w14:textId="77777777" w:rsidR="00CA77B3" w:rsidRDefault="00CA77B3" w:rsidP="007B6315"/>
    <w:p w14:paraId="21D16D50" w14:textId="77777777" w:rsidR="00CA77B3" w:rsidRDefault="00CA77B3" w:rsidP="007B6315"/>
    <w:p w14:paraId="1B6BC172" w14:textId="77777777" w:rsidR="00CA77B3" w:rsidRDefault="00CA77B3" w:rsidP="007B6315"/>
    <w:p w14:paraId="75E7A090" w14:textId="77777777" w:rsidR="00CA77B3" w:rsidRDefault="00CA77B3" w:rsidP="007B6315"/>
    <w:p w14:paraId="0E0F2D69" w14:textId="77777777" w:rsidR="00CA77B3" w:rsidRDefault="00CA77B3" w:rsidP="007B6315"/>
    <w:p w14:paraId="7BFCC59D" w14:textId="77777777" w:rsidR="00CA77B3" w:rsidRDefault="00CA77B3" w:rsidP="007B6315"/>
    <w:p w14:paraId="55BFA8BC" w14:textId="77777777" w:rsidR="00CA77B3" w:rsidRDefault="00CA77B3" w:rsidP="007B6315"/>
    <w:p w14:paraId="39A54ECB" w14:textId="77777777" w:rsidR="00CA77B3" w:rsidRDefault="00CA77B3" w:rsidP="007B6315"/>
    <w:p w14:paraId="654E7D1A" w14:textId="77777777" w:rsidR="00CA77B3" w:rsidRDefault="00CA77B3" w:rsidP="007B6315"/>
    <w:p w14:paraId="2FE2C27D" w14:textId="77777777" w:rsidR="00CA77B3" w:rsidRDefault="00CA77B3" w:rsidP="007B6315"/>
    <w:p w14:paraId="66003B46" w14:textId="77777777" w:rsidR="00CA77B3" w:rsidRDefault="00CA77B3" w:rsidP="007B6315"/>
    <w:p w14:paraId="32D118DD" w14:textId="77777777" w:rsidR="00CA77B3" w:rsidRDefault="00CA77B3" w:rsidP="007B6315"/>
    <w:p w14:paraId="7B7861C9" w14:textId="77777777" w:rsidR="00CA77B3" w:rsidRPr="00CA77B3" w:rsidRDefault="00CA77B3" w:rsidP="007B6315"/>
    <w:p w14:paraId="2939CD5B" w14:textId="77777777" w:rsidR="00605951" w:rsidRPr="00CA77B3" w:rsidRDefault="00605951" w:rsidP="007B6315"/>
    <w:p w14:paraId="5DE06205" w14:textId="77777777" w:rsidR="00605951" w:rsidRPr="00CA77B3" w:rsidRDefault="00605951" w:rsidP="007B6315"/>
    <w:p w14:paraId="26E7A6D6" w14:textId="77777777" w:rsidR="000E1F9B" w:rsidRPr="00CA77B3" w:rsidRDefault="000E1F9B" w:rsidP="007B6315"/>
    <w:p w14:paraId="29E8B060" w14:textId="77777777" w:rsidR="00EA7DC8" w:rsidRPr="00CA77B3" w:rsidRDefault="00EA7DC8" w:rsidP="00EA7DC8">
      <w:pPr>
        <w:pStyle w:val="Sommario1"/>
        <w:rPr>
          <w:b/>
        </w:rPr>
      </w:pPr>
      <w:r w:rsidRPr="00CA77B3">
        <w:rPr>
          <w:b/>
        </w:rPr>
        <w:lastRenderedPageBreak/>
        <w:t xml:space="preserve">Sommario </w:t>
      </w:r>
    </w:p>
    <w:p w14:paraId="5EC32598" w14:textId="611C68A9" w:rsidR="00EA7DC8" w:rsidRPr="00CA77B3" w:rsidRDefault="00EA7DC8" w:rsidP="00EA7DC8"/>
    <w:p w14:paraId="7F86266F" w14:textId="4BA3AC79" w:rsidR="00EA7DC8" w:rsidRPr="00CA77B3" w:rsidRDefault="00EA7DC8" w:rsidP="00EA7DC8">
      <w:pPr>
        <w:widowControl w:val="0"/>
        <w:tabs>
          <w:tab w:val="right" w:pos="12000"/>
        </w:tabs>
        <w:spacing w:before="60"/>
        <w:ind w:left="360"/>
        <w:rPr>
          <w:color w:val="000000"/>
        </w:rPr>
      </w:pPr>
    </w:p>
    <w:bookmarkStart w:id="0" w:name="_u9zcx9c9i9s6" w:colFirst="0" w:colLast="0"/>
    <w:bookmarkEnd w:id="0"/>
    <w:p w14:paraId="37E03A1E" w14:textId="4A6725D5" w:rsidR="00D23DD7" w:rsidRDefault="00EA7DC8">
      <w:pPr>
        <w:pStyle w:val="Sommario1"/>
        <w:rPr>
          <w:rFonts w:asciiTheme="minorHAnsi" w:eastAsiaTheme="minorEastAsia" w:hAnsiTheme="minorHAnsi" w:cstheme="minorBidi"/>
          <w:noProof/>
          <w:kern w:val="2"/>
          <w14:ligatures w14:val="standardContextual"/>
        </w:rPr>
      </w:pPr>
      <w:r w:rsidRPr="00CA77B3">
        <w:fldChar w:fldCharType="begin"/>
      </w:r>
      <w:r w:rsidRPr="00CA77B3">
        <w:instrText>TOC \o "1-3" \h \z \u</w:instrText>
      </w:r>
      <w:r w:rsidRPr="00CA77B3">
        <w:fldChar w:fldCharType="separate"/>
      </w:r>
      <w:hyperlink w:anchor="_Toc215130325" w:history="1">
        <w:r w:rsidR="00D23DD7" w:rsidRPr="00744561">
          <w:rPr>
            <w:rStyle w:val="Collegamentoipertestuale"/>
            <w:bCs/>
            <w:noProof/>
            <w:kern w:val="32"/>
            <w:lang w:val="x-none" w:eastAsia="x-none"/>
          </w:rPr>
          <w:t>1. INTRODUZIONE</w:t>
        </w:r>
        <w:r w:rsidR="00D23DD7">
          <w:rPr>
            <w:noProof/>
            <w:webHidden/>
          </w:rPr>
          <w:tab/>
        </w:r>
        <w:r w:rsidR="00D23DD7">
          <w:rPr>
            <w:noProof/>
            <w:webHidden/>
          </w:rPr>
          <w:fldChar w:fldCharType="begin"/>
        </w:r>
        <w:r w:rsidR="00D23DD7">
          <w:rPr>
            <w:noProof/>
            <w:webHidden/>
          </w:rPr>
          <w:instrText xml:space="preserve"> PAGEREF _Toc215130325 \h </w:instrText>
        </w:r>
        <w:r w:rsidR="00D23DD7">
          <w:rPr>
            <w:noProof/>
            <w:webHidden/>
          </w:rPr>
        </w:r>
        <w:r w:rsidR="00D23DD7">
          <w:rPr>
            <w:noProof/>
            <w:webHidden/>
          </w:rPr>
          <w:fldChar w:fldCharType="separate"/>
        </w:r>
        <w:r w:rsidR="00D23DD7">
          <w:rPr>
            <w:noProof/>
            <w:webHidden/>
          </w:rPr>
          <w:t>3</w:t>
        </w:r>
        <w:r w:rsidR="00D23DD7">
          <w:rPr>
            <w:noProof/>
            <w:webHidden/>
          </w:rPr>
          <w:fldChar w:fldCharType="end"/>
        </w:r>
      </w:hyperlink>
    </w:p>
    <w:p w14:paraId="30226917" w14:textId="4C510F1A" w:rsidR="00D23DD7" w:rsidRDefault="00D23DD7">
      <w:pPr>
        <w:pStyle w:val="Sommario1"/>
        <w:rPr>
          <w:rFonts w:asciiTheme="minorHAnsi" w:eastAsiaTheme="minorEastAsia" w:hAnsiTheme="minorHAnsi" w:cstheme="minorBidi"/>
          <w:noProof/>
          <w:kern w:val="2"/>
          <w14:ligatures w14:val="standardContextual"/>
        </w:rPr>
      </w:pPr>
      <w:hyperlink w:anchor="_Toc215130326" w:history="1">
        <w:r w:rsidRPr="00744561">
          <w:rPr>
            <w:rStyle w:val="Collegamentoipertestuale"/>
            <w:bCs/>
            <w:noProof/>
            <w:kern w:val="32"/>
            <w:lang w:val="x-none" w:eastAsia="x-none"/>
          </w:rPr>
          <w:t>2. I NUOVI SCHEMI DI BILANCIO</w:t>
        </w:r>
        <w:r>
          <w:rPr>
            <w:noProof/>
            <w:webHidden/>
          </w:rPr>
          <w:tab/>
        </w:r>
        <w:r>
          <w:rPr>
            <w:noProof/>
            <w:webHidden/>
          </w:rPr>
          <w:fldChar w:fldCharType="begin"/>
        </w:r>
        <w:r>
          <w:rPr>
            <w:noProof/>
            <w:webHidden/>
          </w:rPr>
          <w:instrText xml:space="preserve"> PAGEREF _Toc215130326 \h </w:instrText>
        </w:r>
        <w:r>
          <w:rPr>
            <w:noProof/>
            <w:webHidden/>
          </w:rPr>
        </w:r>
        <w:r>
          <w:rPr>
            <w:noProof/>
            <w:webHidden/>
          </w:rPr>
          <w:fldChar w:fldCharType="separate"/>
        </w:r>
        <w:r>
          <w:rPr>
            <w:noProof/>
            <w:webHidden/>
          </w:rPr>
          <w:t>5</w:t>
        </w:r>
        <w:r>
          <w:rPr>
            <w:noProof/>
            <w:webHidden/>
          </w:rPr>
          <w:fldChar w:fldCharType="end"/>
        </w:r>
      </w:hyperlink>
    </w:p>
    <w:p w14:paraId="3326692E" w14:textId="60B4F266" w:rsidR="00D23DD7" w:rsidRDefault="00D23DD7">
      <w:pPr>
        <w:pStyle w:val="Sommario1"/>
        <w:rPr>
          <w:rFonts w:asciiTheme="minorHAnsi" w:eastAsiaTheme="minorEastAsia" w:hAnsiTheme="minorHAnsi" w:cstheme="minorBidi"/>
          <w:noProof/>
          <w:kern w:val="2"/>
          <w14:ligatures w14:val="standardContextual"/>
        </w:rPr>
      </w:pPr>
      <w:hyperlink w:anchor="_Toc215130327" w:history="1">
        <w:r w:rsidRPr="00744561">
          <w:rPr>
            <w:rStyle w:val="Collegamentoipertestuale"/>
            <w:bCs/>
            <w:noProof/>
            <w:kern w:val="32"/>
            <w:lang w:val="x-none" w:eastAsia="x-none"/>
          </w:rPr>
          <w:t>3. LE NUOVE COMPETENZE IN MATERIA DI BILANCIO E SUE VARIAZIONI</w:t>
        </w:r>
        <w:r>
          <w:rPr>
            <w:noProof/>
            <w:webHidden/>
          </w:rPr>
          <w:tab/>
        </w:r>
        <w:r>
          <w:rPr>
            <w:noProof/>
            <w:webHidden/>
          </w:rPr>
          <w:fldChar w:fldCharType="begin"/>
        </w:r>
        <w:r>
          <w:rPr>
            <w:noProof/>
            <w:webHidden/>
          </w:rPr>
          <w:instrText xml:space="preserve"> PAGEREF _Toc215130327 \h </w:instrText>
        </w:r>
        <w:r>
          <w:rPr>
            <w:noProof/>
            <w:webHidden/>
          </w:rPr>
        </w:r>
        <w:r>
          <w:rPr>
            <w:noProof/>
            <w:webHidden/>
          </w:rPr>
          <w:fldChar w:fldCharType="separate"/>
        </w:r>
        <w:r>
          <w:rPr>
            <w:noProof/>
            <w:webHidden/>
          </w:rPr>
          <w:t>6</w:t>
        </w:r>
        <w:r>
          <w:rPr>
            <w:noProof/>
            <w:webHidden/>
          </w:rPr>
          <w:fldChar w:fldCharType="end"/>
        </w:r>
      </w:hyperlink>
    </w:p>
    <w:p w14:paraId="639DCAAC" w14:textId="3504354B" w:rsidR="00D23DD7" w:rsidRDefault="00D23DD7">
      <w:pPr>
        <w:pStyle w:val="Sommario1"/>
        <w:rPr>
          <w:rFonts w:asciiTheme="minorHAnsi" w:eastAsiaTheme="minorEastAsia" w:hAnsiTheme="minorHAnsi" w:cstheme="minorBidi"/>
          <w:noProof/>
          <w:kern w:val="2"/>
          <w14:ligatures w14:val="standardContextual"/>
        </w:rPr>
      </w:pPr>
      <w:hyperlink w:anchor="_Toc215130328" w:history="1">
        <w:r w:rsidRPr="00744561">
          <w:rPr>
            <w:rStyle w:val="Collegamentoipertestuale"/>
            <w:bCs/>
            <w:noProof/>
            <w:kern w:val="32"/>
            <w:lang w:val="x-none" w:eastAsia="x-none"/>
          </w:rPr>
          <w:t>4. IL BILANCIO 2026-28</w:t>
        </w:r>
        <w:r>
          <w:rPr>
            <w:noProof/>
            <w:webHidden/>
          </w:rPr>
          <w:tab/>
        </w:r>
        <w:r>
          <w:rPr>
            <w:noProof/>
            <w:webHidden/>
          </w:rPr>
          <w:fldChar w:fldCharType="begin"/>
        </w:r>
        <w:r>
          <w:rPr>
            <w:noProof/>
            <w:webHidden/>
          </w:rPr>
          <w:instrText xml:space="preserve"> PAGEREF _Toc215130328 \h </w:instrText>
        </w:r>
        <w:r>
          <w:rPr>
            <w:noProof/>
            <w:webHidden/>
          </w:rPr>
        </w:r>
        <w:r>
          <w:rPr>
            <w:noProof/>
            <w:webHidden/>
          </w:rPr>
          <w:fldChar w:fldCharType="separate"/>
        </w:r>
        <w:r>
          <w:rPr>
            <w:noProof/>
            <w:webHidden/>
          </w:rPr>
          <w:t>7</w:t>
        </w:r>
        <w:r>
          <w:rPr>
            <w:noProof/>
            <w:webHidden/>
          </w:rPr>
          <w:fldChar w:fldCharType="end"/>
        </w:r>
      </w:hyperlink>
    </w:p>
    <w:p w14:paraId="377514D5" w14:textId="4CE29314" w:rsidR="00D23DD7" w:rsidRDefault="00D23DD7">
      <w:pPr>
        <w:pStyle w:val="Sommario1"/>
        <w:rPr>
          <w:rFonts w:asciiTheme="minorHAnsi" w:eastAsiaTheme="minorEastAsia" w:hAnsiTheme="minorHAnsi" w:cstheme="minorBidi"/>
          <w:noProof/>
          <w:kern w:val="2"/>
          <w14:ligatures w14:val="standardContextual"/>
        </w:rPr>
      </w:pPr>
      <w:hyperlink w:anchor="_Toc215130329" w:history="1">
        <w:r w:rsidRPr="00744561">
          <w:rPr>
            <w:rStyle w:val="Collegamentoipertestuale"/>
            <w:bCs/>
            <w:noProof/>
            <w:kern w:val="32"/>
            <w:lang w:val="x-none" w:eastAsia="x-none"/>
          </w:rPr>
          <w:t>5. CRITERI DI VALUTAZIONE ADOTTATI</w:t>
        </w:r>
        <w:r>
          <w:rPr>
            <w:noProof/>
            <w:webHidden/>
          </w:rPr>
          <w:tab/>
        </w:r>
        <w:r>
          <w:rPr>
            <w:noProof/>
            <w:webHidden/>
          </w:rPr>
          <w:fldChar w:fldCharType="begin"/>
        </w:r>
        <w:r>
          <w:rPr>
            <w:noProof/>
            <w:webHidden/>
          </w:rPr>
          <w:instrText xml:space="preserve"> PAGEREF _Toc215130329 \h </w:instrText>
        </w:r>
        <w:r>
          <w:rPr>
            <w:noProof/>
            <w:webHidden/>
          </w:rPr>
        </w:r>
        <w:r>
          <w:rPr>
            <w:noProof/>
            <w:webHidden/>
          </w:rPr>
          <w:fldChar w:fldCharType="separate"/>
        </w:r>
        <w:r>
          <w:rPr>
            <w:noProof/>
            <w:webHidden/>
          </w:rPr>
          <w:t>8</w:t>
        </w:r>
        <w:r>
          <w:rPr>
            <w:noProof/>
            <w:webHidden/>
          </w:rPr>
          <w:fldChar w:fldCharType="end"/>
        </w:r>
      </w:hyperlink>
    </w:p>
    <w:p w14:paraId="21ACFBE2" w14:textId="1A8F27D4" w:rsidR="00D23DD7" w:rsidRDefault="00D23DD7">
      <w:pPr>
        <w:pStyle w:val="Sommario1"/>
        <w:rPr>
          <w:rFonts w:asciiTheme="minorHAnsi" w:eastAsiaTheme="minorEastAsia" w:hAnsiTheme="minorHAnsi" w:cstheme="minorBidi"/>
          <w:noProof/>
          <w:kern w:val="2"/>
          <w14:ligatures w14:val="standardContextual"/>
        </w:rPr>
      </w:pPr>
      <w:hyperlink w:anchor="_Toc215130330" w:history="1">
        <w:r w:rsidRPr="00744561">
          <w:rPr>
            <w:rStyle w:val="Collegamentoipertestuale"/>
            <w:bCs/>
            <w:noProof/>
            <w:kern w:val="32"/>
            <w:lang w:val="x-none" w:eastAsia="x-none"/>
          </w:rPr>
          <w:t>7. RISULTATO DI AMMINISTRAZIONE PRESUNTO ESERCIZIO PRECEDENTE</w:t>
        </w:r>
        <w:r>
          <w:rPr>
            <w:noProof/>
            <w:webHidden/>
          </w:rPr>
          <w:tab/>
        </w:r>
        <w:r>
          <w:rPr>
            <w:noProof/>
            <w:webHidden/>
          </w:rPr>
          <w:fldChar w:fldCharType="begin"/>
        </w:r>
        <w:r>
          <w:rPr>
            <w:noProof/>
            <w:webHidden/>
          </w:rPr>
          <w:instrText xml:space="preserve"> PAGEREF _Toc215130330 \h </w:instrText>
        </w:r>
        <w:r>
          <w:rPr>
            <w:noProof/>
            <w:webHidden/>
          </w:rPr>
        </w:r>
        <w:r>
          <w:rPr>
            <w:noProof/>
            <w:webHidden/>
          </w:rPr>
          <w:fldChar w:fldCharType="separate"/>
        </w:r>
        <w:r>
          <w:rPr>
            <w:noProof/>
            <w:webHidden/>
          </w:rPr>
          <w:t>12</w:t>
        </w:r>
        <w:r>
          <w:rPr>
            <w:noProof/>
            <w:webHidden/>
          </w:rPr>
          <w:fldChar w:fldCharType="end"/>
        </w:r>
      </w:hyperlink>
    </w:p>
    <w:p w14:paraId="0447D20A" w14:textId="3AA083E8" w:rsidR="00D23DD7" w:rsidRDefault="00D23DD7">
      <w:pPr>
        <w:pStyle w:val="Sommario1"/>
        <w:rPr>
          <w:rFonts w:asciiTheme="minorHAnsi" w:eastAsiaTheme="minorEastAsia" w:hAnsiTheme="minorHAnsi" w:cstheme="minorBidi"/>
          <w:noProof/>
          <w:kern w:val="2"/>
          <w14:ligatures w14:val="standardContextual"/>
        </w:rPr>
      </w:pPr>
      <w:hyperlink w:anchor="_Toc215130331" w:history="1">
        <w:r w:rsidRPr="00744561">
          <w:rPr>
            <w:rStyle w:val="Collegamentoipertestuale"/>
            <w:bCs/>
            <w:noProof/>
            <w:kern w:val="32"/>
            <w:lang w:val="x-none" w:eastAsia="x-none"/>
          </w:rPr>
          <w:t>6. PAREGGIO DI BILANCIO</w:t>
        </w:r>
        <w:r>
          <w:rPr>
            <w:noProof/>
            <w:webHidden/>
          </w:rPr>
          <w:tab/>
        </w:r>
        <w:r>
          <w:rPr>
            <w:noProof/>
            <w:webHidden/>
          </w:rPr>
          <w:fldChar w:fldCharType="begin"/>
        </w:r>
        <w:r>
          <w:rPr>
            <w:noProof/>
            <w:webHidden/>
          </w:rPr>
          <w:instrText xml:space="preserve"> PAGEREF _Toc215130331 \h </w:instrText>
        </w:r>
        <w:r>
          <w:rPr>
            <w:noProof/>
            <w:webHidden/>
          </w:rPr>
        </w:r>
        <w:r>
          <w:rPr>
            <w:noProof/>
            <w:webHidden/>
          </w:rPr>
          <w:fldChar w:fldCharType="separate"/>
        </w:r>
        <w:r>
          <w:rPr>
            <w:noProof/>
            <w:webHidden/>
          </w:rPr>
          <w:t>13</w:t>
        </w:r>
        <w:r>
          <w:rPr>
            <w:noProof/>
            <w:webHidden/>
          </w:rPr>
          <w:fldChar w:fldCharType="end"/>
        </w:r>
      </w:hyperlink>
    </w:p>
    <w:p w14:paraId="5251814E" w14:textId="526D44F3" w:rsidR="00D23DD7" w:rsidRDefault="00D23DD7">
      <w:pPr>
        <w:pStyle w:val="Sommario1"/>
        <w:rPr>
          <w:rFonts w:asciiTheme="minorHAnsi" w:eastAsiaTheme="minorEastAsia" w:hAnsiTheme="minorHAnsi" w:cstheme="minorBidi"/>
          <w:noProof/>
          <w:kern w:val="2"/>
          <w14:ligatures w14:val="standardContextual"/>
        </w:rPr>
      </w:pPr>
      <w:hyperlink w:anchor="_Toc215130332" w:history="1">
        <w:r w:rsidRPr="00744561">
          <w:rPr>
            <w:rStyle w:val="Collegamentoipertestuale"/>
            <w:bCs/>
            <w:noProof/>
            <w:kern w:val="32"/>
            <w:lang w:val="x-none" w:eastAsia="x-none"/>
          </w:rPr>
          <w:t>7. ALTRE INFORMAZIONI OBBLIGATORIE</w:t>
        </w:r>
        <w:r>
          <w:rPr>
            <w:noProof/>
            <w:webHidden/>
          </w:rPr>
          <w:tab/>
        </w:r>
        <w:r>
          <w:rPr>
            <w:noProof/>
            <w:webHidden/>
          </w:rPr>
          <w:fldChar w:fldCharType="begin"/>
        </w:r>
        <w:r>
          <w:rPr>
            <w:noProof/>
            <w:webHidden/>
          </w:rPr>
          <w:instrText xml:space="preserve"> PAGEREF _Toc215130332 \h </w:instrText>
        </w:r>
        <w:r>
          <w:rPr>
            <w:noProof/>
            <w:webHidden/>
          </w:rPr>
        </w:r>
        <w:r>
          <w:rPr>
            <w:noProof/>
            <w:webHidden/>
          </w:rPr>
          <w:fldChar w:fldCharType="separate"/>
        </w:r>
        <w:r>
          <w:rPr>
            <w:noProof/>
            <w:webHidden/>
          </w:rPr>
          <w:t>13</w:t>
        </w:r>
        <w:r>
          <w:rPr>
            <w:noProof/>
            <w:webHidden/>
          </w:rPr>
          <w:fldChar w:fldCharType="end"/>
        </w:r>
      </w:hyperlink>
    </w:p>
    <w:p w14:paraId="1BDA659B" w14:textId="6B72040B" w:rsidR="00D23DD7" w:rsidRDefault="00D23DD7">
      <w:pPr>
        <w:pStyle w:val="Sommario1"/>
        <w:rPr>
          <w:rFonts w:asciiTheme="minorHAnsi" w:eastAsiaTheme="minorEastAsia" w:hAnsiTheme="minorHAnsi" w:cstheme="minorBidi"/>
          <w:noProof/>
          <w:kern w:val="2"/>
          <w14:ligatures w14:val="standardContextual"/>
        </w:rPr>
      </w:pPr>
      <w:hyperlink w:anchor="_Toc215130333" w:history="1">
        <w:r w:rsidRPr="00744561">
          <w:rPr>
            <w:rStyle w:val="Collegamentoipertestuale"/>
            <w:bCs/>
            <w:noProof/>
            <w:kern w:val="32"/>
            <w:lang w:val="x-none" w:eastAsia="x-none"/>
          </w:rPr>
          <w:t>8. CONCLUSIONI</w:t>
        </w:r>
        <w:r>
          <w:rPr>
            <w:noProof/>
            <w:webHidden/>
          </w:rPr>
          <w:tab/>
        </w:r>
        <w:r>
          <w:rPr>
            <w:noProof/>
            <w:webHidden/>
          </w:rPr>
          <w:fldChar w:fldCharType="begin"/>
        </w:r>
        <w:r>
          <w:rPr>
            <w:noProof/>
            <w:webHidden/>
          </w:rPr>
          <w:instrText xml:space="preserve"> PAGEREF _Toc215130333 \h </w:instrText>
        </w:r>
        <w:r>
          <w:rPr>
            <w:noProof/>
            <w:webHidden/>
          </w:rPr>
        </w:r>
        <w:r>
          <w:rPr>
            <w:noProof/>
            <w:webHidden/>
          </w:rPr>
          <w:fldChar w:fldCharType="separate"/>
        </w:r>
        <w:r>
          <w:rPr>
            <w:noProof/>
            <w:webHidden/>
          </w:rPr>
          <w:t>15</w:t>
        </w:r>
        <w:r>
          <w:rPr>
            <w:noProof/>
            <w:webHidden/>
          </w:rPr>
          <w:fldChar w:fldCharType="end"/>
        </w:r>
      </w:hyperlink>
    </w:p>
    <w:p w14:paraId="0C820319" w14:textId="24789DBD" w:rsidR="00EA7DC8" w:rsidRPr="00CA77B3" w:rsidRDefault="00EA7DC8" w:rsidP="00EA7DC8">
      <w:pPr>
        <w:jc w:val="center"/>
      </w:pPr>
      <w:r w:rsidRPr="00CA77B3">
        <w:fldChar w:fldCharType="end"/>
      </w:r>
    </w:p>
    <w:p w14:paraId="73A913C8" w14:textId="77777777" w:rsidR="00605951" w:rsidRPr="00CA77B3" w:rsidRDefault="00605951" w:rsidP="00EA7DC8">
      <w:pPr>
        <w:jc w:val="center"/>
      </w:pPr>
    </w:p>
    <w:p w14:paraId="27A36C3A" w14:textId="77777777" w:rsidR="00605951" w:rsidRPr="00CA77B3" w:rsidRDefault="00605951" w:rsidP="00EA7DC8">
      <w:pPr>
        <w:jc w:val="center"/>
      </w:pPr>
    </w:p>
    <w:p w14:paraId="7AFB734F" w14:textId="77777777" w:rsidR="00605951" w:rsidRPr="00CA77B3" w:rsidRDefault="00605951" w:rsidP="00EA7DC8">
      <w:pPr>
        <w:jc w:val="center"/>
      </w:pPr>
    </w:p>
    <w:p w14:paraId="2389D5E0" w14:textId="77777777" w:rsidR="00605951" w:rsidRPr="00CA77B3" w:rsidRDefault="00605951" w:rsidP="00EA7DC8">
      <w:pPr>
        <w:jc w:val="center"/>
      </w:pPr>
    </w:p>
    <w:p w14:paraId="71C35D5E" w14:textId="77777777" w:rsidR="00605951" w:rsidRPr="00CA77B3" w:rsidRDefault="00605951" w:rsidP="00EA7DC8">
      <w:pPr>
        <w:jc w:val="center"/>
      </w:pPr>
    </w:p>
    <w:p w14:paraId="689324D7" w14:textId="77777777" w:rsidR="00605951" w:rsidRPr="00CA77B3" w:rsidRDefault="00605951" w:rsidP="00EA7DC8">
      <w:pPr>
        <w:jc w:val="center"/>
      </w:pPr>
    </w:p>
    <w:p w14:paraId="45D533B4" w14:textId="77777777" w:rsidR="00605951" w:rsidRPr="00CA77B3" w:rsidRDefault="00605951" w:rsidP="00EA7DC8">
      <w:pPr>
        <w:jc w:val="center"/>
      </w:pPr>
    </w:p>
    <w:p w14:paraId="2BABC6EF" w14:textId="77777777" w:rsidR="00605951" w:rsidRPr="00CA77B3" w:rsidRDefault="00605951" w:rsidP="00EA7DC8">
      <w:pPr>
        <w:jc w:val="center"/>
      </w:pPr>
    </w:p>
    <w:p w14:paraId="05AFF663" w14:textId="77777777" w:rsidR="00605951" w:rsidRPr="00CA77B3" w:rsidRDefault="00605951" w:rsidP="00EA7DC8">
      <w:pPr>
        <w:jc w:val="center"/>
      </w:pPr>
    </w:p>
    <w:p w14:paraId="76069707" w14:textId="77777777" w:rsidR="00605951" w:rsidRPr="00CA77B3" w:rsidRDefault="00605951" w:rsidP="00EA7DC8">
      <w:pPr>
        <w:jc w:val="center"/>
      </w:pPr>
    </w:p>
    <w:p w14:paraId="358E2953" w14:textId="77777777" w:rsidR="00605951" w:rsidRPr="00CA77B3" w:rsidRDefault="00605951" w:rsidP="00EA7DC8">
      <w:pPr>
        <w:jc w:val="center"/>
      </w:pPr>
    </w:p>
    <w:p w14:paraId="4CD94F69" w14:textId="77777777" w:rsidR="00605951" w:rsidRPr="00CA77B3" w:rsidRDefault="00605951" w:rsidP="00EA7DC8">
      <w:pPr>
        <w:jc w:val="center"/>
      </w:pPr>
    </w:p>
    <w:p w14:paraId="690F43F1" w14:textId="77777777" w:rsidR="00605951" w:rsidRPr="00CA77B3" w:rsidRDefault="00605951" w:rsidP="00EA7DC8">
      <w:pPr>
        <w:jc w:val="center"/>
      </w:pPr>
    </w:p>
    <w:p w14:paraId="024F3DFB" w14:textId="77777777" w:rsidR="00605951" w:rsidRPr="00CA77B3" w:rsidRDefault="00605951" w:rsidP="00EA7DC8">
      <w:pPr>
        <w:jc w:val="center"/>
      </w:pPr>
    </w:p>
    <w:p w14:paraId="49E2FF2B" w14:textId="77777777" w:rsidR="00605951" w:rsidRPr="00CA77B3" w:rsidRDefault="00605951" w:rsidP="00EA7DC8">
      <w:pPr>
        <w:jc w:val="center"/>
      </w:pPr>
    </w:p>
    <w:p w14:paraId="2A274660" w14:textId="77777777" w:rsidR="00605951" w:rsidRPr="00CA77B3" w:rsidRDefault="00605951" w:rsidP="00EA7DC8">
      <w:pPr>
        <w:jc w:val="center"/>
      </w:pPr>
    </w:p>
    <w:p w14:paraId="4DF23D40" w14:textId="77777777" w:rsidR="00605951" w:rsidRPr="00CA77B3" w:rsidRDefault="00605951" w:rsidP="00EA7DC8">
      <w:pPr>
        <w:jc w:val="center"/>
      </w:pPr>
    </w:p>
    <w:p w14:paraId="55210B8D" w14:textId="77777777" w:rsidR="00605951" w:rsidRPr="00CA77B3" w:rsidRDefault="00605951" w:rsidP="00EA7DC8">
      <w:pPr>
        <w:jc w:val="center"/>
      </w:pPr>
    </w:p>
    <w:p w14:paraId="74609678" w14:textId="77777777" w:rsidR="00605951" w:rsidRPr="00CA77B3" w:rsidRDefault="00605951" w:rsidP="00EA7DC8">
      <w:pPr>
        <w:jc w:val="center"/>
      </w:pPr>
    </w:p>
    <w:p w14:paraId="28678BAB" w14:textId="77777777" w:rsidR="00605951" w:rsidRPr="00CA77B3" w:rsidRDefault="00605951" w:rsidP="00EA7DC8">
      <w:pPr>
        <w:jc w:val="center"/>
      </w:pPr>
    </w:p>
    <w:p w14:paraId="09865B29" w14:textId="77777777" w:rsidR="00605951" w:rsidRPr="00CA77B3" w:rsidRDefault="00605951" w:rsidP="00EA7DC8">
      <w:pPr>
        <w:jc w:val="center"/>
      </w:pPr>
    </w:p>
    <w:p w14:paraId="4F4B06B0" w14:textId="77777777" w:rsidR="00605951" w:rsidRPr="00CA77B3" w:rsidRDefault="00605951" w:rsidP="00EA7DC8">
      <w:pPr>
        <w:jc w:val="center"/>
      </w:pPr>
    </w:p>
    <w:p w14:paraId="6DD0DC74" w14:textId="77777777" w:rsidR="00605951" w:rsidRPr="00CA77B3" w:rsidRDefault="00605951" w:rsidP="00EA7DC8">
      <w:pPr>
        <w:jc w:val="center"/>
      </w:pPr>
    </w:p>
    <w:p w14:paraId="02E54816" w14:textId="77777777" w:rsidR="00605951" w:rsidRPr="00CA77B3" w:rsidRDefault="00605951" w:rsidP="00EA7DC8">
      <w:pPr>
        <w:jc w:val="center"/>
      </w:pPr>
    </w:p>
    <w:p w14:paraId="15F2CCE0" w14:textId="77777777" w:rsidR="00605951" w:rsidRPr="00CA77B3" w:rsidRDefault="00605951" w:rsidP="00EA7DC8">
      <w:pPr>
        <w:jc w:val="center"/>
      </w:pPr>
    </w:p>
    <w:p w14:paraId="0DAC3AC2" w14:textId="77777777" w:rsidR="00605951" w:rsidRPr="00CA77B3" w:rsidRDefault="00605951" w:rsidP="00EA7DC8">
      <w:pPr>
        <w:jc w:val="center"/>
      </w:pPr>
    </w:p>
    <w:p w14:paraId="54DCD66E" w14:textId="77777777" w:rsidR="00605951" w:rsidRPr="00CA77B3" w:rsidRDefault="00605951" w:rsidP="00EA7DC8">
      <w:pPr>
        <w:jc w:val="center"/>
      </w:pPr>
    </w:p>
    <w:p w14:paraId="252DFD1C" w14:textId="77777777" w:rsidR="00605951" w:rsidRPr="00CA77B3" w:rsidRDefault="00605951" w:rsidP="00EA7DC8">
      <w:pPr>
        <w:jc w:val="center"/>
      </w:pPr>
    </w:p>
    <w:p w14:paraId="5E2AD9EF" w14:textId="77777777" w:rsidR="00605951" w:rsidRPr="00CA77B3" w:rsidRDefault="00605951" w:rsidP="00EA7DC8">
      <w:pPr>
        <w:jc w:val="center"/>
      </w:pPr>
    </w:p>
    <w:p w14:paraId="32393CC5" w14:textId="77777777" w:rsidR="00605951" w:rsidRPr="00CA77B3" w:rsidRDefault="00605951" w:rsidP="00EA7DC8">
      <w:pPr>
        <w:jc w:val="center"/>
      </w:pPr>
    </w:p>
    <w:p w14:paraId="3655D7C9" w14:textId="77777777" w:rsidR="00605951" w:rsidRDefault="00605951" w:rsidP="00EA7DC8">
      <w:pPr>
        <w:jc w:val="center"/>
      </w:pPr>
    </w:p>
    <w:p w14:paraId="1C28E261" w14:textId="77777777" w:rsidR="00CA77B3" w:rsidRDefault="00CA77B3" w:rsidP="00EA7DC8">
      <w:pPr>
        <w:jc w:val="center"/>
      </w:pPr>
    </w:p>
    <w:p w14:paraId="1D9028F6" w14:textId="77777777" w:rsidR="00CA77B3" w:rsidRPr="00CA77B3" w:rsidRDefault="00CA77B3" w:rsidP="00EA7DC8">
      <w:pPr>
        <w:jc w:val="center"/>
      </w:pPr>
    </w:p>
    <w:p w14:paraId="492E5976" w14:textId="77777777" w:rsidR="00605951" w:rsidRPr="00CA77B3" w:rsidRDefault="00605951" w:rsidP="00EA7DC8">
      <w:pPr>
        <w:jc w:val="center"/>
      </w:pPr>
    </w:p>
    <w:p w14:paraId="11267ED3" w14:textId="77777777" w:rsidR="00605951" w:rsidRPr="00CA77B3" w:rsidRDefault="00605951" w:rsidP="00EA7DC8">
      <w:pPr>
        <w:jc w:val="center"/>
      </w:pPr>
    </w:p>
    <w:p w14:paraId="7645513D" w14:textId="77777777" w:rsidR="00605951" w:rsidRPr="00CA77B3" w:rsidRDefault="00605951" w:rsidP="00EA7DC8">
      <w:pPr>
        <w:jc w:val="center"/>
      </w:pPr>
    </w:p>
    <w:p w14:paraId="324D3ED4" w14:textId="77777777" w:rsidR="00605951" w:rsidRPr="00CA77B3" w:rsidRDefault="00605951" w:rsidP="00EA7DC8">
      <w:pPr>
        <w:jc w:val="center"/>
      </w:pPr>
    </w:p>
    <w:p w14:paraId="5F90AAC2" w14:textId="77777777" w:rsidR="00605951" w:rsidRPr="00CA77B3" w:rsidRDefault="00605951" w:rsidP="00EA7DC8">
      <w:pPr>
        <w:jc w:val="center"/>
      </w:pPr>
    </w:p>
    <w:p w14:paraId="48986B6F" w14:textId="77777777" w:rsidR="005E4E96" w:rsidRPr="00CA77B3" w:rsidRDefault="005E4E96" w:rsidP="00EA7DC8">
      <w:pPr>
        <w:jc w:val="center"/>
        <w:rPr>
          <w:b/>
        </w:rPr>
      </w:pPr>
    </w:p>
    <w:p w14:paraId="1FF83A2F" w14:textId="7D69FE46" w:rsidR="000E1F9B" w:rsidRPr="00CA77B3" w:rsidRDefault="000120AA" w:rsidP="00EA7DC8">
      <w:pPr>
        <w:pStyle w:val="Titolo1"/>
        <w:keepNext w:val="0"/>
        <w:keepLines w:val="0"/>
        <w:widowControl w:val="0"/>
        <w:pBdr>
          <w:top w:val="single" w:sz="6" w:space="1" w:color="000000" w:shadow="1"/>
          <w:left w:val="single" w:sz="6" w:space="4" w:color="000000" w:shadow="1"/>
          <w:bottom w:val="single" w:sz="6" w:space="1" w:color="000000" w:shadow="1"/>
          <w:right w:val="single" w:sz="6" w:space="4" w:color="000000" w:shadow="1"/>
        </w:pBdr>
        <w:shd w:val="clear" w:color="auto" w:fill="B6DDE8"/>
        <w:overflowPunct w:val="0"/>
        <w:autoSpaceDE w:val="0"/>
        <w:autoSpaceDN w:val="0"/>
        <w:adjustRightInd w:val="0"/>
        <w:spacing w:before="0" w:after="360" w:line="240" w:lineRule="auto"/>
        <w:jc w:val="center"/>
        <w:rPr>
          <w:rFonts w:ascii="Times New Roman" w:eastAsia="Times New Roman" w:hAnsi="Times New Roman" w:cs="Times New Roman"/>
          <w:bCs/>
          <w:kern w:val="32"/>
          <w:sz w:val="32"/>
          <w:szCs w:val="32"/>
          <w:lang w:val="x-none" w:eastAsia="x-none"/>
        </w:rPr>
      </w:pPr>
      <w:bookmarkStart w:id="1" w:name="_Toc215130325"/>
      <w:r w:rsidRPr="00CA77B3">
        <w:rPr>
          <w:rFonts w:ascii="Times New Roman" w:eastAsia="Times New Roman" w:hAnsi="Times New Roman" w:cs="Times New Roman"/>
          <w:bCs/>
          <w:kern w:val="32"/>
          <w:sz w:val="32"/>
          <w:szCs w:val="32"/>
          <w:lang w:val="x-none" w:eastAsia="x-none"/>
        </w:rPr>
        <w:t xml:space="preserve">1. </w:t>
      </w:r>
      <w:r w:rsidR="000E1F9B" w:rsidRPr="00CA77B3">
        <w:rPr>
          <w:rFonts w:ascii="Times New Roman" w:eastAsia="Times New Roman" w:hAnsi="Times New Roman" w:cs="Times New Roman"/>
          <w:bCs/>
          <w:kern w:val="32"/>
          <w:sz w:val="32"/>
          <w:szCs w:val="32"/>
          <w:lang w:val="x-none" w:eastAsia="x-none"/>
        </w:rPr>
        <w:t>INTRODUZIONE</w:t>
      </w:r>
      <w:bookmarkEnd w:id="1"/>
    </w:p>
    <w:p w14:paraId="10DCD9C5" w14:textId="77777777" w:rsidR="000E1F9B" w:rsidRPr="00CA77B3" w:rsidRDefault="000E1F9B" w:rsidP="007B6315"/>
    <w:p w14:paraId="039B12FE" w14:textId="5CBE8C2E" w:rsidR="007B6315" w:rsidRPr="00CA77B3" w:rsidRDefault="000E1F9B" w:rsidP="000E1F9B">
      <w:pPr>
        <w:jc w:val="both"/>
      </w:pPr>
      <w:r w:rsidRPr="00CA77B3">
        <w:t xml:space="preserve">Il 1 gennaio 2015 il Comune di </w:t>
      </w:r>
      <w:r w:rsidR="00EA7DC8" w:rsidRPr="00CA77B3">
        <w:t>Assago</w:t>
      </w:r>
      <w:r w:rsidRPr="00CA77B3">
        <w:t xml:space="preserve"> è entrato, al pari degli altri comuni italiani, </w:t>
      </w:r>
      <w:r w:rsidR="0029285A" w:rsidRPr="00CA77B3">
        <w:t xml:space="preserve">nel nuovo ordinamento contabile voluto dal D.lgs. 118/2011 e </w:t>
      </w:r>
      <w:r w:rsidR="00A752DE" w:rsidRPr="00CA77B3">
        <w:t>più tardi</w:t>
      </w:r>
      <w:r w:rsidR="0029285A" w:rsidRPr="00CA77B3">
        <w:t xml:space="preserve"> definito nei tempi e nelle regole di dettaglio dal D.lgs. 126 del 10 agosto 2014.</w:t>
      </w:r>
    </w:p>
    <w:p w14:paraId="6F344521" w14:textId="77777777" w:rsidR="0029285A" w:rsidRPr="00CA77B3" w:rsidRDefault="0029285A" w:rsidP="000E1F9B">
      <w:pPr>
        <w:jc w:val="both"/>
      </w:pPr>
      <w:r w:rsidRPr="00CA77B3">
        <w:t xml:space="preserve">Si tratta di una vera e propria rivoluzione nella contabilità degli enti locali, che </w:t>
      </w:r>
      <w:r w:rsidR="000B7D33" w:rsidRPr="00CA77B3">
        <w:t xml:space="preserve">ha mutato e ancora </w:t>
      </w:r>
      <w:r w:rsidRPr="00CA77B3">
        <w:t xml:space="preserve">muterà profondamente la prassi amministrativa degli uffici, dei funzionari e anche degli amministratori e dei consiglieri. </w:t>
      </w:r>
      <w:r w:rsidR="00074057" w:rsidRPr="00CA77B3">
        <w:t>Si ritiene perciò opportuno che anche quest’anno l</w:t>
      </w:r>
      <w:r w:rsidRPr="00CA77B3">
        <w:t xml:space="preserve">a presente nota integrativa, tra l’altro essa stessa una delle novità della riforma, </w:t>
      </w:r>
      <w:r w:rsidR="00700518" w:rsidRPr="00CA77B3">
        <w:t xml:space="preserve">oltre </w:t>
      </w:r>
      <w:r w:rsidRPr="00CA77B3">
        <w:t xml:space="preserve">a motivare le scelte di bilancio dal punto di vista tecnico, così come accade per i bilanci delle imprese, </w:t>
      </w:r>
      <w:r w:rsidR="00700518" w:rsidRPr="00CA77B3">
        <w:t xml:space="preserve">svolga </w:t>
      </w:r>
      <w:r w:rsidRPr="00CA77B3">
        <w:t>anche la funzione fondamentale di illustrare il nuovo sistema contabile</w:t>
      </w:r>
      <w:r w:rsidR="002036EB" w:rsidRPr="00CA77B3">
        <w:t>.</w:t>
      </w:r>
    </w:p>
    <w:p w14:paraId="434CFF4B" w14:textId="77777777" w:rsidR="007B6315" w:rsidRPr="00CA77B3" w:rsidRDefault="002036EB" w:rsidP="000E1F9B">
      <w:pPr>
        <w:jc w:val="both"/>
      </w:pPr>
      <w:r w:rsidRPr="00CA77B3">
        <w:t xml:space="preserve">In primo luogo va detto che la riforma </w:t>
      </w:r>
      <w:r w:rsidR="00074057" w:rsidRPr="00CA77B3">
        <w:t>è entrata pienamente in vigore solo a partire dal 2016</w:t>
      </w:r>
      <w:r w:rsidRPr="00CA77B3">
        <w:t xml:space="preserve">; ciò proprio a causa dell’estremo carattere di novità delle nuove regole e dell’impatto che esse hanno sugli enti. A cambiare, infatti, non sono </w:t>
      </w:r>
      <w:r w:rsidR="00074057" w:rsidRPr="00CA77B3">
        <w:t xml:space="preserve">stati </w:t>
      </w:r>
      <w:r w:rsidRPr="00CA77B3">
        <w:t xml:space="preserve">solamente degli schemi contabili o alcune regole, ma l’intero universo del bilancio e ala sua gestione, modificando così attitudini, comportamenti e  modi di pensare consolidati da decenni. Coinvolti in questo processo, quindi, sono </w:t>
      </w:r>
      <w:r w:rsidR="00074057" w:rsidRPr="00CA77B3">
        <w:t xml:space="preserve">stati </w:t>
      </w:r>
      <w:r w:rsidRPr="00CA77B3">
        <w:t xml:space="preserve">tutti coloro che operano a vario titolo con il bilancio, dal Consiglio che lo approva alla Giunta  che lo propone a tutti i funzionari che lo gestiscono. Per questo motivo sono stati realizzati percorsi di formazione interni per tutte le varie categorie di operatori, mirati ovviamente alle diverse funzioni di ciascuno: ufficio ragioneria, altri uffici, funzionari ecc. </w:t>
      </w:r>
    </w:p>
    <w:p w14:paraId="7BEAC745" w14:textId="77777777" w:rsidR="002036EB" w:rsidRPr="00CA77B3" w:rsidRDefault="00074057" w:rsidP="000E1F9B">
      <w:pPr>
        <w:jc w:val="both"/>
      </w:pPr>
      <w:r w:rsidRPr="00CA77B3">
        <w:t>I punti principali della riforma si possono sintetizzare nei seguenti:</w:t>
      </w:r>
    </w:p>
    <w:p w14:paraId="78EB98E6" w14:textId="77777777" w:rsidR="00402437" w:rsidRPr="00CA77B3" w:rsidRDefault="00074057" w:rsidP="002036EB">
      <w:pPr>
        <w:numPr>
          <w:ilvl w:val="0"/>
          <w:numId w:val="1"/>
        </w:numPr>
        <w:jc w:val="both"/>
      </w:pPr>
      <w:r w:rsidRPr="00CA77B3">
        <w:t>introduzione dei principi</w:t>
      </w:r>
      <w:r w:rsidR="00402437" w:rsidRPr="00CA77B3">
        <w:t xml:space="preserve"> della contabilità finanziaria potenziata, compres</w:t>
      </w:r>
      <w:r w:rsidRPr="00CA77B3">
        <w:t>i</w:t>
      </w:r>
      <w:r w:rsidR="00402437" w:rsidRPr="00CA77B3">
        <w:t xml:space="preserve"> quelle relative al Fondo Pluriennale Vincolato e al Fondo Crediti di Dubbia Esigibilità</w:t>
      </w:r>
    </w:p>
    <w:p w14:paraId="0155B30F" w14:textId="77777777" w:rsidR="00074057" w:rsidRPr="00CA77B3" w:rsidRDefault="00074057" w:rsidP="002036EB">
      <w:pPr>
        <w:numPr>
          <w:ilvl w:val="0"/>
          <w:numId w:val="1"/>
        </w:numPr>
        <w:jc w:val="both"/>
      </w:pPr>
      <w:r w:rsidRPr="00CA77B3">
        <w:t>utilizzo di</w:t>
      </w:r>
      <w:r w:rsidR="00402437" w:rsidRPr="00CA77B3">
        <w:t xml:space="preserve"> nuovi schemi di bilancio, </w:t>
      </w:r>
      <w:r w:rsidRPr="00CA77B3">
        <w:t>e applicazione del</w:t>
      </w:r>
      <w:r w:rsidR="00402437" w:rsidRPr="00CA77B3">
        <w:t xml:space="preserve"> piano dei conti integrato, </w:t>
      </w:r>
      <w:r w:rsidRPr="00CA77B3">
        <w:t>del</w:t>
      </w:r>
      <w:r w:rsidR="00402437" w:rsidRPr="00CA77B3">
        <w:t xml:space="preserve"> bilancio consolidato</w:t>
      </w:r>
    </w:p>
    <w:p w14:paraId="4FC2F188" w14:textId="77777777" w:rsidR="007B6315" w:rsidRPr="00CA77B3" w:rsidRDefault="00402437" w:rsidP="002036EB">
      <w:pPr>
        <w:numPr>
          <w:ilvl w:val="0"/>
          <w:numId w:val="1"/>
        </w:numPr>
        <w:jc w:val="both"/>
      </w:pPr>
      <w:r w:rsidRPr="00CA77B3">
        <w:t>modifiche alla disciplina delle variazioni di bilancio</w:t>
      </w:r>
    </w:p>
    <w:p w14:paraId="04B8D942" w14:textId="77777777" w:rsidR="00402437" w:rsidRPr="00CA77B3" w:rsidRDefault="00C26192" w:rsidP="000E1F9B">
      <w:pPr>
        <w:jc w:val="both"/>
      </w:pPr>
      <w:r w:rsidRPr="00CA77B3">
        <w:t>Anche se sono ormai trascorsi diversi anni, è sempre utile</w:t>
      </w:r>
      <w:r w:rsidR="000B7D33" w:rsidRPr="00CA77B3">
        <w:t xml:space="preserve"> ribadire alcuni concetti espressi nell</w:t>
      </w:r>
      <w:r w:rsidR="00F93C68" w:rsidRPr="00CA77B3">
        <w:t>e</w:t>
      </w:r>
      <w:r w:rsidR="000B7D33" w:rsidRPr="00CA77B3">
        <w:t xml:space="preserve"> not</w:t>
      </w:r>
      <w:r w:rsidR="00F93C68" w:rsidRPr="00CA77B3">
        <w:t xml:space="preserve">e </w:t>
      </w:r>
      <w:r w:rsidRPr="00CA77B3">
        <w:t>precedenti, vista l’importanza della riforma</w:t>
      </w:r>
      <w:r w:rsidR="000B7D33" w:rsidRPr="00CA77B3">
        <w:t>.</w:t>
      </w:r>
    </w:p>
    <w:p w14:paraId="427378AA" w14:textId="77777777" w:rsidR="001B1B9E" w:rsidRPr="00CA77B3" w:rsidRDefault="000B7D33" w:rsidP="000E1F9B">
      <w:pPr>
        <w:jc w:val="both"/>
      </w:pPr>
      <w:r w:rsidRPr="00CA77B3">
        <w:t>In primo luogo,</w:t>
      </w:r>
      <w:r w:rsidR="001B1B9E" w:rsidRPr="00CA77B3">
        <w:t xml:space="preserve"> il bilancio di previsione del Comune rimane un bilancio autorizzatorio</w:t>
      </w:r>
      <w:r w:rsidR="00700518" w:rsidRPr="00CA77B3">
        <w:t>;</w:t>
      </w:r>
      <w:r w:rsidR="001B1B9E" w:rsidRPr="00CA77B3">
        <w:t xml:space="preserve"> </w:t>
      </w:r>
      <w:r w:rsidR="00700518" w:rsidRPr="00CA77B3">
        <w:t xml:space="preserve">possono </w:t>
      </w:r>
      <w:r w:rsidR="001B1B9E" w:rsidRPr="00CA77B3">
        <w:t>cioè essere effettuate spese solo se esiste uno stanziamento sufficiente</w:t>
      </w:r>
      <w:r w:rsidR="00700518" w:rsidRPr="00CA77B3">
        <w:t>. Inoltre, esso</w:t>
      </w:r>
      <w:r w:rsidR="001B1B9E" w:rsidRPr="00CA77B3">
        <w:t xml:space="preserve"> </w:t>
      </w:r>
      <w:r w:rsidR="00700518" w:rsidRPr="00CA77B3">
        <w:t>è</w:t>
      </w:r>
      <w:r w:rsidR="001B1B9E" w:rsidRPr="00CA77B3">
        <w:t xml:space="preserve"> deliberato in pareggio, quindi con il totale delle entrate che deve essere pari al totale delle spese. Allo stesso modo non cambia il principio del pareggio di parte corrente, che deve essere garantito salve le eccezioni di legge. Tutte queste cose, e molte altre ancora, non sono diverse da come le </w:t>
      </w:r>
      <w:r w:rsidR="00700518" w:rsidRPr="00CA77B3">
        <w:t>avevamo conosciute nel passato</w:t>
      </w:r>
      <w:r w:rsidR="001B1B9E" w:rsidRPr="00CA77B3">
        <w:t xml:space="preserve">: qui esporremo solo le modifiche rispetto alla </w:t>
      </w:r>
      <w:r w:rsidR="00700518" w:rsidRPr="00CA77B3">
        <w:t>normativa precedente</w:t>
      </w:r>
      <w:r w:rsidR="001B1B9E" w:rsidRPr="00CA77B3">
        <w:t>.</w:t>
      </w:r>
    </w:p>
    <w:p w14:paraId="62E8FABB" w14:textId="77777777" w:rsidR="000B7D33" w:rsidRPr="00CA77B3" w:rsidRDefault="001B1B9E" w:rsidP="000E1F9B">
      <w:pPr>
        <w:jc w:val="both"/>
      </w:pPr>
      <w:r w:rsidRPr="00CA77B3">
        <w:t xml:space="preserve">Rispetto a quello in uso </w:t>
      </w:r>
      <w:r w:rsidR="000B7D33" w:rsidRPr="00CA77B3">
        <w:t>fino al 2015</w:t>
      </w:r>
      <w:r w:rsidRPr="00CA77B3">
        <w:t xml:space="preserve">, il nuovo schema </w:t>
      </w:r>
      <w:r w:rsidR="00A872CC" w:rsidRPr="00CA77B3">
        <w:t xml:space="preserve">di bilancio </w:t>
      </w:r>
      <w:r w:rsidRPr="00CA77B3">
        <w:t xml:space="preserve">non </w:t>
      </w:r>
      <w:r w:rsidR="00700518" w:rsidRPr="00CA77B3">
        <w:t>ha previsto</w:t>
      </w:r>
      <w:r w:rsidRPr="00CA77B3">
        <w:t xml:space="preserve"> il bilancio pluriennale come documento autonomo, ma un bilancio di competenza triennale e di cassa annuale; in pratica non cambia nulla, se non che i due documenti (bilancio annuale e pluriennale) sono stati unificati. </w:t>
      </w:r>
      <w:r w:rsidR="00700518" w:rsidRPr="00CA77B3">
        <w:t>E’ stato</w:t>
      </w:r>
      <w:r w:rsidRPr="00CA77B3">
        <w:t xml:space="preserve"> però reintrodotto, dopo quasi vent’anni, il bilancio di cassa, </w:t>
      </w:r>
      <w:r w:rsidR="00700518" w:rsidRPr="00CA77B3">
        <w:t xml:space="preserve">nel bilancio </w:t>
      </w:r>
      <w:r w:rsidRPr="00CA77B3">
        <w:t>cioè viene indicata la somma che si presume di incassare o di pagare nell’esercizio (a competenza o a residuo)</w:t>
      </w:r>
      <w:r w:rsidR="007429DD" w:rsidRPr="00CA77B3">
        <w:t xml:space="preserve">, stanziamento che, per le spese, ha valore vincolante come per la competenza finanziaria. </w:t>
      </w:r>
      <w:r w:rsidR="00A872CC" w:rsidRPr="00CA77B3">
        <w:t>E’ stata eliminata</w:t>
      </w:r>
      <w:r w:rsidR="007429DD" w:rsidRPr="00CA77B3">
        <w:t xml:space="preserve"> la Relazione Previsionale e Programmatica, sostituita dal Documento Unico di Programmazione </w:t>
      </w:r>
      <w:r w:rsidR="00A872CC" w:rsidRPr="00CA77B3">
        <w:t xml:space="preserve">(DUP) </w:t>
      </w:r>
      <w:r w:rsidR="007429DD" w:rsidRPr="00CA77B3">
        <w:t xml:space="preserve">che </w:t>
      </w:r>
      <w:r w:rsidR="00A872CC" w:rsidRPr="00CA77B3">
        <w:t>ha però una funzione completamente diversa. Come il DEF statale, infatti, il DUP è un documento con cui si tracciano le linee strategiche sulle quali l’Amministrazione costruirà il bilancio, e infatti deve essere</w:t>
      </w:r>
      <w:r w:rsidR="007429DD" w:rsidRPr="00CA77B3">
        <w:t xml:space="preserve"> approvato entro il 31 luglio dell’anno precedente</w:t>
      </w:r>
      <w:r w:rsidR="00A872CC" w:rsidRPr="00CA77B3">
        <w:t>.</w:t>
      </w:r>
      <w:r w:rsidR="000B7D33" w:rsidRPr="00CA77B3">
        <w:t xml:space="preserve"> Va però rilevato che l’approvazione del DUP viene in un primo momento effettuata dalla Giunta, e solo al momento dell’approvazione del bilancio viene confermata dal Consiglio Comunale</w:t>
      </w:r>
      <w:r w:rsidR="00A872CC" w:rsidRPr="00CA77B3">
        <w:t>, seguendo così lo stesso iter del bilancio (schema approvato dalla Giunta, documento finale dal Consiglio)</w:t>
      </w:r>
      <w:r w:rsidR="000B7D33" w:rsidRPr="00CA77B3">
        <w:t xml:space="preserve">. All’interno </w:t>
      </w:r>
      <w:r w:rsidR="000B7D33" w:rsidRPr="00CA77B3">
        <w:lastRenderedPageBreak/>
        <w:t>di que</w:t>
      </w:r>
      <w:r w:rsidR="003706FE" w:rsidRPr="00CA77B3">
        <w:t>l</w:t>
      </w:r>
      <w:r w:rsidR="000B7D33" w:rsidRPr="00CA77B3">
        <w:t xml:space="preserve"> documento</w:t>
      </w:r>
      <w:r w:rsidR="003706FE" w:rsidRPr="00CA77B3">
        <w:t>, in ogni caso,</w:t>
      </w:r>
      <w:r w:rsidR="000B7D33" w:rsidRPr="00CA77B3">
        <w:t xml:space="preserve"> è possibile trovare tutte le spiegazioni più approfondite su di esso e sulla sua funzione. </w:t>
      </w:r>
    </w:p>
    <w:p w14:paraId="1EE7C422" w14:textId="77777777" w:rsidR="00DE038A" w:rsidRPr="00CA77B3" w:rsidRDefault="00DE038A" w:rsidP="000E1F9B">
      <w:pPr>
        <w:jc w:val="both"/>
      </w:pPr>
      <w:r w:rsidRPr="00CA77B3">
        <w:t xml:space="preserve">Infine, riproponiamo qui le definizioni dei nuovi istituti contabili </w:t>
      </w:r>
      <w:r w:rsidR="00D46258" w:rsidRPr="00CA77B3">
        <w:t xml:space="preserve">sopra elencati, </w:t>
      </w:r>
      <w:r w:rsidRPr="00CA77B3">
        <w:t xml:space="preserve">in vigore già </w:t>
      </w:r>
      <w:r w:rsidR="00A752DE" w:rsidRPr="00CA77B3">
        <w:t>dal</w:t>
      </w:r>
      <w:r w:rsidR="00B411A7" w:rsidRPr="00CA77B3">
        <w:t xml:space="preserve"> </w:t>
      </w:r>
      <w:r w:rsidRPr="00CA77B3">
        <w:t>2015 ma che per la loro importanza è utile riprendere:</w:t>
      </w:r>
    </w:p>
    <w:p w14:paraId="3C5C0AEB" w14:textId="77777777" w:rsidR="00DE038A" w:rsidRPr="00CA77B3" w:rsidRDefault="00DE038A" w:rsidP="00DE038A">
      <w:pPr>
        <w:numPr>
          <w:ilvl w:val="0"/>
          <w:numId w:val="6"/>
        </w:numPr>
        <w:tabs>
          <w:tab w:val="left" w:pos="284"/>
        </w:tabs>
        <w:ind w:right="-285"/>
        <w:jc w:val="both"/>
      </w:pPr>
      <w:r w:rsidRPr="00CA77B3">
        <w:t xml:space="preserve">Principio della competenza finanziaria potenziata: in base ad esso l’iscrizione della posta contabile nel bilancio (accertamento in entrata e impegno in uscita) avviene nell’esercizio in cui sorge l’obbligazione con imputazione contabile all’esercizio in cui scade l’obbligazione viene a scadenza. Fino al 2014, invece, la registrazione dell’accertamento e dell’impegno avveniva sempre al momento del sorgere dell’obbligazione ma imputata nell’esercizio di competenza finanziaria, che non sempre coincide con il momento in cui l’obbligazione viene a scadenza. Generalmente, nell’entrata e nella spesa i due momenti coincidono, ma per le spese in conto capitale la contabilizzazione degli impegni </w:t>
      </w:r>
      <w:r w:rsidR="00D46258" w:rsidRPr="00CA77B3">
        <w:t>è</w:t>
      </w:r>
      <w:r w:rsidRPr="00CA77B3">
        <w:t xml:space="preserve"> completamente diversa. Ad esempio, se una spesa di investimento, poniamo di 1 milione di euro, è finanziata con un mutuo della stessa cifra, in entrata si iscriverà 1 milione nell’esercizio in corso, in quanto il mutuo viene erogato per intero al momento della sottoscrizione del contratto, mentre in uscita la stessa somma di 1 milione sarà impegnata subito, ma nell’esercizio in cui si suppone che verranno pagati gli stati di avanzamento lavori: a pareggiare gli accertamenti e gli impegni  di ogni esercizio servirà il Fondo Pluriennale Vincolato.</w:t>
      </w:r>
    </w:p>
    <w:p w14:paraId="321BA68C" w14:textId="77777777" w:rsidR="00DE038A" w:rsidRPr="00CA77B3" w:rsidRDefault="00DE038A" w:rsidP="00DE038A">
      <w:pPr>
        <w:pStyle w:val="Paragrafoelenco"/>
        <w:numPr>
          <w:ilvl w:val="0"/>
          <w:numId w:val="2"/>
        </w:numPr>
        <w:spacing w:after="200"/>
        <w:ind w:right="-285"/>
        <w:jc w:val="both"/>
        <w:rPr>
          <w:u w:val="single"/>
        </w:rPr>
      </w:pPr>
      <w:r w:rsidRPr="00CA77B3">
        <w:t>Fondo Pluriennale Vincolato: i</w:t>
      </w:r>
      <w:r w:rsidRPr="00CA77B3">
        <w:rPr>
          <w:color w:val="000000"/>
        </w:rPr>
        <w:t>l fondo pluriennale vincolato è un saldo finanziario, costituito da</w:t>
      </w:r>
      <w:r w:rsidRPr="00CA77B3">
        <w:t xml:space="preserve"> risorse già accertate destinate al finanziamento di obbligazioni passive dell’ente già impegnate, ma esigibili in esercizi successivi a quello in cui è accertata l’entrata. </w:t>
      </w:r>
      <w:r w:rsidRPr="00CA77B3">
        <w:rPr>
          <w:color w:val="000000"/>
        </w:rPr>
        <w:t xml:space="preserve">Trattasi di un saldo finanziario che garantisce </w:t>
      </w:r>
      <w:r w:rsidRPr="00CA77B3">
        <w:t xml:space="preserve">la copertura di spese imputate agli esercizi successivi a quello in corso, </w:t>
      </w:r>
      <w:r w:rsidRPr="00CA77B3">
        <w:rPr>
          <w:color w:val="000000"/>
        </w:rPr>
        <w:t xml:space="preserve">che nasce dall’esigenza di applicare il principio della competenza finanziaria potenziata e rendere evidente la distanza temporale intercorrente tra l’acquisizione dei finanziamenti e l’effettivo impiego di tali risorse. </w:t>
      </w:r>
      <w:r w:rsidRPr="00CA77B3">
        <w:t>Nel corso dell’esercizio, sulla base dei risultati del rendiconto, è determinato l’importo definitivo del fondo pluriennale vincolato stanziato in entrata del primo esercizio considerato nel bilancio di previsione. Mentre in entrata, il Fondo è unico e diviso solo tra parte corrente (se le relative spese sono di parte corrente) e conto capitale (se le spese sono tali), in uscita il Fondo è inserito all’interno dei singoli capitoli di spesa ove sono registrati gli impegni sugli esercizi successivi. Su tali stanziamenti di spesa intestati ai singoli fondi pluriennali vincolati non è possibile assumere impegni ed effettuare pagamenti, e le somme stanziate confluiscono quindi nell’avanzo di amministrazione. In buona sostanza, si tratta di poste compensative di natura puramente contabile che non influiscono sui saldi di bilancio.</w:t>
      </w:r>
    </w:p>
    <w:p w14:paraId="69D12625" w14:textId="41BC405F" w:rsidR="00DE038A" w:rsidRPr="00CA77B3" w:rsidRDefault="00DE038A" w:rsidP="00DE038A">
      <w:pPr>
        <w:pStyle w:val="Paragrafoelenco"/>
        <w:numPr>
          <w:ilvl w:val="0"/>
          <w:numId w:val="2"/>
        </w:numPr>
        <w:spacing w:after="200"/>
        <w:ind w:right="-285"/>
        <w:jc w:val="both"/>
      </w:pPr>
      <w:r w:rsidRPr="00CA77B3">
        <w:t xml:space="preserve">Fondo Crediti Dubbia Esigibilità: deve intendersi come un fondo rischi, diretto ad evitare che le entrate di dubbia esigibilità, previste ed accertate nel corso dell’esercizio, possano finanziare delle spese esigibili nel corso del medesimo esercizio. E’ quindi un capitolo di spesa il cui stanziamento è calcolato in rapporto al volume delle entrate che si prevede di dubbia esigibilità e che, non potendo essere impegnato, confluisce nell’avanzo vincolato. E’questo uno degli aspetti più importanti della riforma, in quanto ha obbligato anche quei comuni che avevano accertato tali somme per intero ad adottare una politica più prudente, forzati come sono ad accantonare una parte della spesa corrente per costituire tale fondo, sottraendola ad altre spese che dovranno quindi essere ridotte. Infatti, l’applicazione di questo principio è stato diluito su più anni, come vedremo nel paragrafo dedicato al fondo, perché per molti comuni tutto ciò rappresenta un enorme problema; per il Comune di </w:t>
      </w:r>
      <w:r w:rsidR="003C663F" w:rsidRPr="00CA77B3">
        <w:t>Assago</w:t>
      </w:r>
      <w:r w:rsidRPr="00CA77B3">
        <w:t xml:space="preserve">, che ha sempre accertato per cassa tali crediti, non si è creata invece alcuna difficoltà, ma solo una diversa rappresentazione contabile di alcune voci. Ad esempio, l’entrata di dubbia esigibilità per eccellenza, i proventi delle sanzioni per violazioni al Codice della Strada, è prevista in entrata con un importo </w:t>
      </w:r>
      <w:r w:rsidR="00D46258" w:rsidRPr="00CA77B3">
        <w:t>molto superiore a</w:t>
      </w:r>
      <w:r w:rsidRPr="00CA77B3">
        <w:t xml:space="preserve"> quello registrato fino al 2014, perché comprende </w:t>
      </w:r>
      <w:r w:rsidRPr="00CA77B3">
        <w:rPr>
          <w:u w:val="single"/>
        </w:rPr>
        <w:t>tutte</w:t>
      </w:r>
      <w:r w:rsidRPr="00CA77B3">
        <w:t xml:space="preserve"> le sanzioni emesse e non solo quelle riscosse; al contempo, in uscita è poi previsto il Fondo di importo pari a quella parte dell’accertato che si ipotizza di non riscuotere, sulla base dei dati storici. Il delta </w:t>
      </w:r>
      <w:r w:rsidR="00D46258" w:rsidRPr="00CA77B3">
        <w:t>è</w:t>
      </w:r>
      <w:r w:rsidRPr="00CA77B3">
        <w:t xml:space="preserve"> grossomodo uguale all’importo che fino al 2014 veniva iscritto a bilancio, quindi con un saldo nullo. </w:t>
      </w:r>
    </w:p>
    <w:p w14:paraId="17B138C1" w14:textId="77777777" w:rsidR="00DE038A" w:rsidRPr="00CA77B3" w:rsidRDefault="00DE038A" w:rsidP="000E1F9B">
      <w:pPr>
        <w:jc w:val="both"/>
      </w:pPr>
    </w:p>
    <w:p w14:paraId="04DAF964" w14:textId="77777777" w:rsidR="00DE038A" w:rsidRPr="00CA77B3" w:rsidRDefault="00DE038A" w:rsidP="00EA7DC8">
      <w:pPr>
        <w:pStyle w:val="Titolo1"/>
        <w:keepNext w:val="0"/>
        <w:keepLines w:val="0"/>
        <w:widowControl w:val="0"/>
        <w:pBdr>
          <w:top w:val="single" w:sz="6" w:space="1" w:color="000000" w:shadow="1"/>
          <w:left w:val="single" w:sz="6" w:space="4" w:color="000000" w:shadow="1"/>
          <w:bottom w:val="single" w:sz="6" w:space="1" w:color="000000" w:shadow="1"/>
          <w:right w:val="single" w:sz="6" w:space="4" w:color="000000" w:shadow="1"/>
        </w:pBdr>
        <w:shd w:val="clear" w:color="auto" w:fill="B6DDE8"/>
        <w:overflowPunct w:val="0"/>
        <w:autoSpaceDE w:val="0"/>
        <w:autoSpaceDN w:val="0"/>
        <w:adjustRightInd w:val="0"/>
        <w:spacing w:before="0" w:after="360" w:line="240" w:lineRule="auto"/>
        <w:jc w:val="center"/>
        <w:rPr>
          <w:rFonts w:ascii="Times New Roman" w:eastAsia="Times New Roman" w:hAnsi="Times New Roman" w:cs="Times New Roman"/>
          <w:bCs/>
          <w:kern w:val="32"/>
          <w:sz w:val="32"/>
          <w:szCs w:val="32"/>
          <w:lang w:val="x-none" w:eastAsia="x-none"/>
        </w:rPr>
      </w:pPr>
      <w:bookmarkStart w:id="2" w:name="_Toc215130326"/>
      <w:r w:rsidRPr="00CA77B3">
        <w:rPr>
          <w:rFonts w:ascii="Times New Roman" w:eastAsia="Times New Roman" w:hAnsi="Times New Roman" w:cs="Times New Roman"/>
          <w:bCs/>
          <w:kern w:val="32"/>
          <w:sz w:val="32"/>
          <w:szCs w:val="32"/>
          <w:lang w:val="x-none" w:eastAsia="x-none"/>
        </w:rPr>
        <w:lastRenderedPageBreak/>
        <w:t>2. I NUOVI SCHEMI DI BILANCIO</w:t>
      </w:r>
      <w:bookmarkEnd w:id="2"/>
    </w:p>
    <w:p w14:paraId="5F9E2A6C" w14:textId="77777777" w:rsidR="00DE038A" w:rsidRPr="00CA77B3" w:rsidRDefault="00DE038A" w:rsidP="000E1F9B">
      <w:pPr>
        <w:jc w:val="both"/>
      </w:pPr>
    </w:p>
    <w:p w14:paraId="51CE5ACF" w14:textId="77777777" w:rsidR="00D756D2" w:rsidRPr="00CA77B3" w:rsidRDefault="007429DD" w:rsidP="000E1F9B">
      <w:pPr>
        <w:jc w:val="both"/>
      </w:pPr>
      <w:r w:rsidRPr="00CA77B3">
        <w:t xml:space="preserve">Sempre per uniformare gli schemi </w:t>
      </w:r>
      <w:r w:rsidR="00D756D2" w:rsidRPr="00CA77B3">
        <w:t xml:space="preserve">a quelli in uso a livello centrale, i nuovi modelli dividono le spese in missioni e programmi, anziché in funzioni e servizi come </w:t>
      </w:r>
      <w:r w:rsidR="00A752DE" w:rsidRPr="00CA77B3">
        <w:t>in passato</w:t>
      </w:r>
      <w:r w:rsidR="00D756D2" w:rsidRPr="00CA77B3">
        <w:t xml:space="preserve">: la differenza più importante è che i titoli della spesa sono inseriti all’interno delle singole missioni e non viceversa, ma a livello pratico e di verifica degli equilibri non cambia la sostanza. Per le entrate rimane invece la macroclassificazione di primo livello in titoli. </w:t>
      </w:r>
      <w:r w:rsidR="00DE038A" w:rsidRPr="00CA77B3">
        <w:t xml:space="preserve">Ecco quindi il </w:t>
      </w:r>
      <w:r w:rsidR="00D756D2" w:rsidRPr="00CA77B3">
        <w:t>confronto fra vecchi e nuovi modelli</w:t>
      </w:r>
      <w:r w:rsidR="00DE038A" w:rsidRPr="00CA77B3">
        <w:t xml:space="preserve"> espresso in semplici tabelle:</w:t>
      </w:r>
    </w:p>
    <w:p w14:paraId="747E8E6A" w14:textId="77777777" w:rsidR="00DE038A" w:rsidRPr="00CA77B3" w:rsidRDefault="00DE038A" w:rsidP="000E1F9B">
      <w:pPr>
        <w:jc w:val="both"/>
      </w:pPr>
    </w:p>
    <w:p w14:paraId="362A62D5" w14:textId="77777777" w:rsidR="00DE038A" w:rsidRPr="00CA77B3" w:rsidRDefault="00DE038A" w:rsidP="00DE038A">
      <w:pPr>
        <w:jc w:val="both"/>
        <w:rPr>
          <w:b/>
        </w:rPr>
      </w:pPr>
      <w:r w:rsidRPr="00CA77B3">
        <w:rPr>
          <w:b/>
        </w:rPr>
        <w:t>ENTRATE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DE038A" w:rsidRPr="00CA77B3" w14:paraId="448CB5D6" w14:textId="77777777" w:rsidTr="00975BFA">
        <w:tc>
          <w:tcPr>
            <w:tcW w:w="4889" w:type="dxa"/>
          </w:tcPr>
          <w:p w14:paraId="131E55A1" w14:textId="77777777" w:rsidR="00DE038A" w:rsidRPr="00CA77B3" w:rsidRDefault="00DE038A" w:rsidP="00975BFA">
            <w:pPr>
              <w:jc w:val="both"/>
              <w:rPr>
                <w:b/>
              </w:rPr>
            </w:pPr>
            <w:r w:rsidRPr="00CA77B3">
              <w:rPr>
                <w:b/>
              </w:rPr>
              <w:t>VECCHIA STRUTTURA</w:t>
            </w:r>
          </w:p>
        </w:tc>
        <w:tc>
          <w:tcPr>
            <w:tcW w:w="4889" w:type="dxa"/>
          </w:tcPr>
          <w:p w14:paraId="0DC7C993" w14:textId="77777777" w:rsidR="00DE038A" w:rsidRPr="00CA77B3" w:rsidRDefault="00DE038A" w:rsidP="00975BFA">
            <w:pPr>
              <w:jc w:val="both"/>
              <w:rPr>
                <w:b/>
              </w:rPr>
            </w:pPr>
            <w:r w:rsidRPr="00CA77B3">
              <w:rPr>
                <w:b/>
              </w:rPr>
              <w:t>NUOVA STRUTTURA</w:t>
            </w:r>
          </w:p>
        </w:tc>
      </w:tr>
      <w:tr w:rsidR="00DE038A" w:rsidRPr="00CA77B3" w14:paraId="1B55C7D4" w14:textId="77777777" w:rsidTr="00975BFA">
        <w:tc>
          <w:tcPr>
            <w:tcW w:w="4889" w:type="dxa"/>
          </w:tcPr>
          <w:p w14:paraId="6528BDBD" w14:textId="77777777" w:rsidR="00DE038A" w:rsidRPr="00CA77B3" w:rsidRDefault="00DE038A" w:rsidP="00975BFA">
            <w:pPr>
              <w:jc w:val="both"/>
            </w:pPr>
            <w:r w:rsidRPr="00CA77B3">
              <w:t>TITOLI</w:t>
            </w:r>
          </w:p>
        </w:tc>
        <w:tc>
          <w:tcPr>
            <w:tcW w:w="4889" w:type="dxa"/>
          </w:tcPr>
          <w:p w14:paraId="6703E42F" w14:textId="77777777" w:rsidR="00DE038A" w:rsidRPr="00CA77B3" w:rsidRDefault="00DE038A" w:rsidP="00975BFA">
            <w:pPr>
              <w:jc w:val="both"/>
            </w:pPr>
            <w:r w:rsidRPr="00CA77B3">
              <w:t>TITOLI</w:t>
            </w:r>
          </w:p>
        </w:tc>
      </w:tr>
      <w:tr w:rsidR="00DE038A" w:rsidRPr="00CA77B3" w14:paraId="48810085" w14:textId="77777777" w:rsidTr="00975BFA">
        <w:tc>
          <w:tcPr>
            <w:tcW w:w="4889" w:type="dxa"/>
          </w:tcPr>
          <w:p w14:paraId="44DFC0F2" w14:textId="77777777" w:rsidR="00DE038A" w:rsidRPr="00CA77B3" w:rsidRDefault="00DE038A" w:rsidP="00975BFA">
            <w:pPr>
              <w:jc w:val="both"/>
            </w:pPr>
            <w:r w:rsidRPr="00CA77B3">
              <w:t>CATEGORIE</w:t>
            </w:r>
          </w:p>
        </w:tc>
        <w:tc>
          <w:tcPr>
            <w:tcW w:w="4889" w:type="dxa"/>
          </w:tcPr>
          <w:p w14:paraId="56F9CED7" w14:textId="77777777" w:rsidR="00DE038A" w:rsidRPr="00CA77B3" w:rsidRDefault="00DE038A" w:rsidP="00975BFA">
            <w:pPr>
              <w:jc w:val="both"/>
            </w:pPr>
            <w:r w:rsidRPr="00CA77B3">
              <w:t>TIPOLOGIE</w:t>
            </w:r>
          </w:p>
        </w:tc>
      </w:tr>
      <w:tr w:rsidR="00DE038A" w:rsidRPr="00CA77B3" w14:paraId="342395D6" w14:textId="77777777" w:rsidTr="00975BFA">
        <w:tc>
          <w:tcPr>
            <w:tcW w:w="4889" w:type="dxa"/>
          </w:tcPr>
          <w:p w14:paraId="17FDD62B" w14:textId="77777777" w:rsidR="00DE038A" w:rsidRPr="00CA77B3" w:rsidRDefault="00DE038A" w:rsidP="00975BFA">
            <w:pPr>
              <w:jc w:val="both"/>
            </w:pPr>
            <w:r w:rsidRPr="00CA77B3">
              <w:t>RISORSE</w:t>
            </w:r>
          </w:p>
        </w:tc>
        <w:tc>
          <w:tcPr>
            <w:tcW w:w="4889" w:type="dxa"/>
          </w:tcPr>
          <w:p w14:paraId="000E0006" w14:textId="77777777" w:rsidR="00DE038A" w:rsidRPr="00CA77B3" w:rsidRDefault="00DE038A" w:rsidP="00975BFA">
            <w:pPr>
              <w:jc w:val="both"/>
            </w:pPr>
            <w:r w:rsidRPr="00CA77B3">
              <w:t>CATEGORIE</w:t>
            </w:r>
          </w:p>
        </w:tc>
      </w:tr>
      <w:tr w:rsidR="00DE038A" w:rsidRPr="00CA77B3" w14:paraId="0A39AA02" w14:textId="77777777" w:rsidTr="00975BFA">
        <w:tc>
          <w:tcPr>
            <w:tcW w:w="4889" w:type="dxa"/>
          </w:tcPr>
          <w:p w14:paraId="5437FA4D" w14:textId="77777777" w:rsidR="00DE038A" w:rsidRPr="00CA77B3" w:rsidRDefault="00DE038A" w:rsidP="00975BFA">
            <w:pPr>
              <w:jc w:val="both"/>
            </w:pPr>
            <w:r w:rsidRPr="00CA77B3">
              <w:t>CAPITOLI</w:t>
            </w:r>
          </w:p>
        </w:tc>
        <w:tc>
          <w:tcPr>
            <w:tcW w:w="4889" w:type="dxa"/>
          </w:tcPr>
          <w:p w14:paraId="028A2EFF" w14:textId="77777777" w:rsidR="00DE038A" w:rsidRPr="00CA77B3" w:rsidRDefault="00DE038A" w:rsidP="00975BFA">
            <w:pPr>
              <w:jc w:val="both"/>
            </w:pPr>
            <w:r w:rsidRPr="00CA77B3">
              <w:t>CAPITOLI</w:t>
            </w:r>
          </w:p>
        </w:tc>
      </w:tr>
    </w:tbl>
    <w:p w14:paraId="613BB923" w14:textId="77777777" w:rsidR="00DE038A" w:rsidRPr="00CA77B3" w:rsidRDefault="00DE038A" w:rsidP="000E1F9B">
      <w:pPr>
        <w:jc w:val="both"/>
      </w:pPr>
    </w:p>
    <w:p w14:paraId="4B3A5D34" w14:textId="77777777" w:rsidR="00DE038A" w:rsidRPr="00CA77B3" w:rsidRDefault="00DE038A" w:rsidP="00DE038A">
      <w:pPr>
        <w:jc w:val="both"/>
      </w:pPr>
      <w:r w:rsidRPr="00CA77B3">
        <w:t>Come si vede, al di là di qualche modifica terminologica la sostanza non cambia. Va però sottolineato come il Consiglio Comunale non approvi più il bilancio fino al livello di dettaglio delle risorse come in passato, ma fino a quello delle tipologie, lasciando alla Giunta il compito di dettagliare categorie e capitoli, quindi con un livello di dettaglio minore. Ciò ha riflessi importanti sulla competenza alle variazioni di bilancio, che esamineremo più avanti.</w:t>
      </w:r>
    </w:p>
    <w:p w14:paraId="19167B38" w14:textId="77777777" w:rsidR="00DE038A" w:rsidRPr="00CA77B3" w:rsidRDefault="00DE038A" w:rsidP="000E1F9B">
      <w:pPr>
        <w:jc w:val="both"/>
      </w:pPr>
    </w:p>
    <w:p w14:paraId="0E81D955" w14:textId="77777777" w:rsidR="00DE038A" w:rsidRPr="00CA77B3" w:rsidRDefault="00DE038A" w:rsidP="00DE038A">
      <w:pPr>
        <w:jc w:val="both"/>
        <w:rPr>
          <w:b/>
        </w:rPr>
      </w:pPr>
      <w:r w:rsidRPr="00CA77B3">
        <w:rPr>
          <w:b/>
        </w:rPr>
        <w:t>USCITE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3"/>
        <w:gridCol w:w="4825"/>
      </w:tblGrid>
      <w:tr w:rsidR="00DE038A" w:rsidRPr="00CA77B3" w14:paraId="67C18FC8" w14:textId="77777777" w:rsidTr="00975BFA">
        <w:tc>
          <w:tcPr>
            <w:tcW w:w="4889" w:type="dxa"/>
          </w:tcPr>
          <w:p w14:paraId="267B3805" w14:textId="77777777" w:rsidR="00DE038A" w:rsidRPr="00CA77B3" w:rsidRDefault="00DE038A" w:rsidP="00975BFA">
            <w:pPr>
              <w:jc w:val="both"/>
              <w:rPr>
                <w:b/>
              </w:rPr>
            </w:pPr>
            <w:r w:rsidRPr="00CA77B3">
              <w:rPr>
                <w:b/>
              </w:rPr>
              <w:t>VECCHIA STRUTTURA</w:t>
            </w:r>
          </w:p>
        </w:tc>
        <w:tc>
          <w:tcPr>
            <w:tcW w:w="4889" w:type="dxa"/>
          </w:tcPr>
          <w:p w14:paraId="6020DCC0" w14:textId="77777777" w:rsidR="00DE038A" w:rsidRPr="00CA77B3" w:rsidRDefault="00DE038A" w:rsidP="00975BFA">
            <w:pPr>
              <w:jc w:val="both"/>
              <w:rPr>
                <w:b/>
              </w:rPr>
            </w:pPr>
            <w:r w:rsidRPr="00CA77B3">
              <w:rPr>
                <w:b/>
              </w:rPr>
              <w:t>NUOVA STRUTTURA</w:t>
            </w:r>
          </w:p>
        </w:tc>
      </w:tr>
      <w:tr w:rsidR="00DE038A" w:rsidRPr="00CA77B3" w14:paraId="6C2978E7" w14:textId="77777777" w:rsidTr="00975BFA">
        <w:tc>
          <w:tcPr>
            <w:tcW w:w="4889" w:type="dxa"/>
          </w:tcPr>
          <w:p w14:paraId="07B5EA4A" w14:textId="77777777" w:rsidR="00DE038A" w:rsidRPr="00CA77B3" w:rsidRDefault="00DE038A" w:rsidP="00975BFA">
            <w:pPr>
              <w:jc w:val="both"/>
            </w:pPr>
            <w:r w:rsidRPr="00CA77B3">
              <w:t>TITOLI</w:t>
            </w:r>
          </w:p>
        </w:tc>
        <w:tc>
          <w:tcPr>
            <w:tcW w:w="4889" w:type="dxa"/>
          </w:tcPr>
          <w:p w14:paraId="68E9CB4F" w14:textId="77777777" w:rsidR="00DE038A" w:rsidRPr="00CA77B3" w:rsidRDefault="00DE038A" w:rsidP="00975BFA">
            <w:pPr>
              <w:jc w:val="both"/>
            </w:pPr>
            <w:r w:rsidRPr="00CA77B3">
              <w:t>MISSIONI</w:t>
            </w:r>
          </w:p>
        </w:tc>
      </w:tr>
      <w:tr w:rsidR="00DE038A" w:rsidRPr="00CA77B3" w14:paraId="55244283" w14:textId="77777777" w:rsidTr="00975BFA">
        <w:tc>
          <w:tcPr>
            <w:tcW w:w="4889" w:type="dxa"/>
          </w:tcPr>
          <w:p w14:paraId="0E1022A4" w14:textId="77777777" w:rsidR="00DE038A" w:rsidRPr="00CA77B3" w:rsidRDefault="00DE038A" w:rsidP="00975BFA">
            <w:pPr>
              <w:jc w:val="both"/>
            </w:pPr>
            <w:r w:rsidRPr="00CA77B3">
              <w:t>FUNZIONI</w:t>
            </w:r>
          </w:p>
        </w:tc>
        <w:tc>
          <w:tcPr>
            <w:tcW w:w="4889" w:type="dxa"/>
          </w:tcPr>
          <w:p w14:paraId="1C0DB6A3" w14:textId="77777777" w:rsidR="00DE038A" w:rsidRPr="00CA77B3" w:rsidRDefault="00DE038A" w:rsidP="00975BFA">
            <w:pPr>
              <w:jc w:val="both"/>
            </w:pPr>
            <w:r w:rsidRPr="00CA77B3">
              <w:t>PROGRAMMI</w:t>
            </w:r>
          </w:p>
        </w:tc>
      </w:tr>
      <w:tr w:rsidR="00DE038A" w:rsidRPr="00CA77B3" w14:paraId="70F3B765" w14:textId="77777777" w:rsidTr="00975BFA">
        <w:tc>
          <w:tcPr>
            <w:tcW w:w="4889" w:type="dxa"/>
          </w:tcPr>
          <w:p w14:paraId="6B187760" w14:textId="77777777" w:rsidR="00DE038A" w:rsidRPr="00CA77B3" w:rsidRDefault="00DE038A" w:rsidP="00975BFA">
            <w:pPr>
              <w:jc w:val="both"/>
            </w:pPr>
            <w:r w:rsidRPr="00CA77B3">
              <w:t>SERVIZI</w:t>
            </w:r>
          </w:p>
        </w:tc>
        <w:tc>
          <w:tcPr>
            <w:tcW w:w="4889" w:type="dxa"/>
          </w:tcPr>
          <w:p w14:paraId="24A88B46" w14:textId="77777777" w:rsidR="00DE038A" w:rsidRPr="00CA77B3" w:rsidRDefault="00DE038A" w:rsidP="00975BFA">
            <w:pPr>
              <w:jc w:val="both"/>
            </w:pPr>
            <w:r w:rsidRPr="00CA77B3">
              <w:t>TITOLI</w:t>
            </w:r>
          </w:p>
        </w:tc>
      </w:tr>
      <w:tr w:rsidR="00DE038A" w:rsidRPr="00CA77B3" w14:paraId="1269FF27" w14:textId="77777777" w:rsidTr="00975BFA">
        <w:tc>
          <w:tcPr>
            <w:tcW w:w="4889" w:type="dxa"/>
          </w:tcPr>
          <w:p w14:paraId="50CF9C05" w14:textId="77777777" w:rsidR="00DE038A" w:rsidRPr="00CA77B3" w:rsidRDefault="00DE038A" w:rsidP="00975BFA">
            <w:pPr>
              <w:jc w:val="both"/>
            </w:pPr>
            <w:r w:rsidRPr="00CA77B3">
              <w:t>INTERVENTI</w:t>
            </w:r>
          </w:p>
        </w:tc>
        <w:tc>
          <w:tcPr>
            <w:tcW w:w="4889" w:type="dxa"/>
          </w:tcPr>
          <w:p w14:paraId="47A14F3F" w14:textId="77777777" w:rsidR="00DE038A" w:rsidRPr="00CA77B3" w:rsidRDefault="00DE038A" w:rsidP="00975BFA">
            <w:pPr>
              <w:jc w:val="both"/>
            </w:pPr>
            <w:r w:rsidRPr="00CA77B3">
              <w:t>MACROAGGREGATI</w:t>
            </w:r>
          </w:p>
        </w:tc>
      </w:tr>
      <w:tr w:rsidR="00DE038A" w:rsidRPr="00CA77B3" w14:paraId="17707417" w14:textId="77777777" w:rsidTr="00975BFA">
        <w:tc>
          <w:tcPr>
            <w:tcW w:w="4889" w:type="dxa"/>
          </w:tcPr>
          <w:p w14:paraId="076E37CA" w14:textId="77777777" w:rsidR="00DE038A" w:rsidRPr="00CA77B3" w:rsidRDefault="00DE038A" w:rsidP="00975BFA">
            <w:pPr>
              <w:jc w:val="both"/>
            </w:pPr>
            <w:r w:rsidRPr="00CA77B3">
              <w:t>CAPITOLI</w:t>
            </w:r>
          </w:p>
        </w:tc>
        <w:tc>
          <w:tcPr>
            <w:tcW w:w="4889" w:type="dxa"/>
          </w:tcPr>
          <w:p w14:paraId="2A5EF1D6" w14:textId="77777777" w:rsidR="00DE038A" w:rsidRPr="00CA77B3" w:rsidRDefault="00DE038A" w:rsidP="00975BFA">
            <w:pPr>
              <w:jc w:val="both"/>
            </w:pPr>
            <w:r w:rsidRPr="00CA77B3">
              <w:t>CAPITOLI</w:t>
            </w:r>
          </w:p>
        </w:tc>
      </w:tr>
    </w:tbl>
    <w:p w14:paraId="5022458F" w14:textId="77777777" w:rsidR="00DE038A" w:rsidRPr="00CA77B3" w:rsidRDefault="00DE038A" w:rsidP="000E1F9B">
      <w:pPr>
        <w:jc w:val="both"/>
      </w:pPr>
    </w:p>
    <w:p w14:paraId="4DD3696C" w14:textId="77777777" w:rsidR="00DE038A" w:rsidRPr="00CA77B3" w:rsidRDefault="00DE038A" w:rsidP="00DE038A">
      <w:pPr>
        <w:jc w:val="both"/>
      </w:pPr>
      <w:r w:rsidRPr="00CA77B3">
        <w:t>In buona sostanza, le missioni equivalgono alle vecchie funzioni, i programmi ai vecchi servizi e i macroaggregati ai vecchi interventi; i titoli sono semplicemente inseriti come sottordinati rispetto alle missioni, ma in realtà mantengono la stessa importanza di prima con la divisione fra spese correnti e in conto capitale ecc.</w:t>
      </w:r>
    </w:p>
    <w:p w14:paraId="42803258" w14:textId="77777777" w:rsidR="00B50DAE" w:rsidRPr="00CA77B3" w:rsidRDefault="00B50DAE" w:rsidP="00B50DAE">
      <w:pPr>
        <w:jc w:val="both"/>
      </w:pPr>
      <w:r w:rsidRPr="00CA77B3">
        <w:t>Ecco invece la tabella di confronto della struttura dei titoli:</w:t>
      </w:r>
    </w:p>
    <w:p w14:paraId="4B183934" w14:textId="77777777" w:rsidR="00B50DAE" w:rsidRPr="00CA77B3" w:rsidRDefault="00B50DAE" w:rsidP="00B50DAE">
      <w:pPr>
        <w:jc w:val="both"/>
      </w:pPr>
    </w:p>
    <w:p w14:paraId="7B57548E" w14:textId="77777777" w:rsidR="00B50DAE" w:rsidRPr="00CA77B3" w:rsidRDefault="00B50DAE" w:rsidP="00B50DAE">
      <w:pPr>
        <w:jc w:val="both"/>
        <w:rPr>
          <w:b/>
        </w:rPr>
      </w:pPr>
      <w:r w:rsidRPr="00CA77B3">
        <w:rPr>
          <w:b/>
        </w:rPr>
        <w:t>ENTRATE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B50DAE" w:rsidRPr="00CA77B3" w14:paraId="528E5622" w14:textId="77777777" w:rsidTr="00975BFA">
        <w:tc>
          <w:tcPr>
            <w:tcW w:w="4889" w:type="dxa"/>
          </w:tcPr>
          <w:p w14:paraId="6053D587" w14:textId="77777777" w:rsidR="00B50DAE" w:rsidRPr="00CA77B3" w:rsidRDefault="00B50DAE" w:rsidP="00975BFA">
            <w:pPr>
              <w:jc w:val="both"/>
              <w:rPr>
                <w:b/>
              </w:rPr>
            </w:pPr>
            <w:r w:rsidRPr="00CA77B3">
              <w:rPr>
                <w:b/>
              </w:rPr>
              <w:t>VECCHIA STRUTTURA</w:t>
            </w:r>
          </w:p>
        </w:tc>
        <w:tc>
          <w:tcPr>
            <w:tcW w:w="4889" w:type="dxa"/>
          </w:tcPr>
          <w:p w14:paraId="0B338552" w14:textId="77777777" w:rsidR="00B50DAE" w:rsidRPr="00CA77B3" w:rsidRDefault="00B50DAE" w:rsidP="00975BFA">
            <w:pPr>
              <w:jc w:val="both"/>
              <w:rPr>
                <w:b/>
              </w:rPr>
            </w:pPr>
            <w:r w:rsidRPr="00CA77B3">
              <w:rPr>
                <w:b/>
              </w:rPr>
              <w:t>NUOVA STRUTTURA</w:t>
            </w:r>
          </w:p>
        </w:tc>
      </w:tr>
      <w:tr w:rsidR="00B50DAE" w:rsidRPr="00CA77B3" w14:paraId="2C72C838" w14:textId="77777777" w:rsidTr="00975BFA">
        <w:tc>
          <w:tcPr>
            <w:tcW w:w="4889" w:type="dxa"/>
          </w:tcPr>
          <w:p w14:paraId="398B2ACC" w14:textId="77777777" w:rsidR="00B50DAE" w:rsidRPr="00CA77B3" w:rsidRDefault="00B50DAE" w:rsidP="00975BFA">
            <w:pPr>
              <w:jc w:val="both"/>
            </w:pPr>
            <w:r w:rsidRPr="00CA77B3">
              <w:t>TITOLO I      ENTRATE TRIBUTARIE</w:t>
            </w:r>
          </w:p>
        </w:tc>
        <w:tc>
          <w:tcPr>
            <w:tcW w:w="4889" w:type="dxa"/>
          </w:tcPr>
          <w:p w14:paraId="2AF5A2C9" w14:textId="77777777" w:rsidR="00B50DAE" w:rsidRPr="00CA77B3" w:rsidRDefault="00B50DAE" w:rsidP="00975BFA">
            <w:pPr>
              <w:jc w:val="both"/>
            </w:pPr>
            <w:r w:rsidRPr="00CA77B3">
              <w:t>TITOLO I      ENTRATE TRIBUTARIE</w:t>
            </w:r>
          </w:p>
        </w:tc>
      </w:tr>
      <w:tr w:rsidR="00B50DAE" w:rsidRPr="00CA77B3" w14:paraId="3026BD1B" w14:textId="77777777" w:rsidTr="00975BFA">
        <w:tc>
          <w:tcPr>
            <w:tcW w:w="4889" w:type="dxa"/>
          </w:tcPr>
          <w:p w14:paraId="4A77E5F5" w14:textId="77777777" w:rsidR="00B50DAE" w:rsidRPr="00CA77B3" w:rsidRDefault="00B50DAE" w:rsidP="00975BFA">
            <w:pPr>
              <w:jc w:val="both"/>
            </w:pPr>
            <w:r w:rsidRPr="00CA77B3">
              <w:t>TITOLO II  TRASFERIMENTI DA STATO, REGIONI</w:t>
            </w:r>
          </w:p>
        </w:tc>
        <w:tc>
          <w:tcPr>
            <w:tcW w:w="4889" w:type="dxa"/>
          </w:tcPr>
          <w:p w14:paraId="74BDCB22" w14:textId="77777777" w:rsidR="00B50DAE" w:rsidRPr="00CA77B3" w:rsidRDefault="00B50DAE" w:rsidP="00975BFA">
            <w:pPr>
              <w:jc w:val="both"/>
            </w:pPr>
            <w:r w:rsidRPr="00CA77B3">
              <w:t>TITOLO II  TRASFERIMENTI DA STATO, REGIONI</w:t>
            </w:r>
          </w:p>
        </w:tc>
      </w:tr>
      <w:tr w:rsidR="00B50DAE" w:rsidRPr="00CA77B3" w14:paraId="41B29D94" w14:textId="77777777" w:rsidTr="00975BFA">
        <w:tc>
          <w:tcPr>
            <w:tcW w:w="4889" w:type="dxa"/>
          </w:tcPr>
          <w:p w14:paraId="5931820F" w14:textId="77777777" w:rsidR="00B50DAE" w:rsidRPr="00CA77B3" w:rsidRDefault="00B50DAE" w:rsidP="00975BFA">
            <w:pPr>
              <w:jc w:val="both"/>
            </w:pPr>
            <w:r w:rsidRPr="00CA77B3">
              <w:t>TITOLO III  ENTRATE EXTRATRIBUTARIE</w:t>
            </w:r>
          </w:p>
        </w:tc>
        <w:tc>
          <w:tcPr>
            <w:tcW w:w="4889" w:type="dxa"/>
          </w:tcPr>
          <w:p w14:paraId="5B575DB4" w14:textId="77777777" w:rsidR="00B50DAE" w:rsidRPr="00CA77B3" w:rsidRDefault="00B50DAE" w:rsidP="00975BFA">
            <w:pPr>
              <w:jc w:val="both"/>
            </w:pPr>
            <w:r w:rsidRPr="00CA77B3">
              <w:t>TITOLO III  ENTRATE EXTRATRIBUTARIE</w:t>
            </w:r>
          </w:p>
        </w:tc>
      </w:tr>
      <w:tr w:rsidR="00B50DAE" w:rsidRPr="00CA77B3" w14:paraId="6CB7047A" w14:textId="77777777" w:rsidTr="00975BFA">
        <w:tc>
          <w:tcPr>
            <w:tcW w:w="4889" w:type="dxa"/>
          </w:tcPr>
          <w:p w14:paraId="7C5412C6" w14:textId="77777777" w:rsidR="00B50DAE" w:rsidRPr="00CA77B3" w:rsidRDefault="00B50DAE" w:rsidP="00975BFA">
            <w:pPr>
              <w:jc w:val="both"/>
            </w:pPr>
            <w:r w:rsidRPr="00CA77B3">
              <w:t>TITOLO IV ENTRATE IN CONTO CAPITALE</w:t>
            </w:r>
          </w:p>
        </w:tc>
        <w:tc>
          <w:tcPr>
            <w:tcW w:w="4889" w:type="dxa"/>
          </w:tcPr>
          <w:p w14:paraId="4061383B" w14:textId="77777777" w:rsidR="00B50DAE" w:rsidRPr="00CA77B3" w:rsidRDefault="00B50DAE" w:rsidP="00975BFA">
            <w:pPr>
              <w:jc w:val="both"/>
            </w:pPr>
            <w:r w:rsidRPr="00CA77B3">
              <w:t>TITOLO IV ENTRATE IN CONTO CAPITALE</w:t>
            </w:r>
          </w:p>
        </w:tc>
      </w:tr>
      <w:tr w:rsidR="00B50DAE" w:rsidRPr="00CA77B3" w14:paraId="0EA2CCBC" w14:textId="77777777" w:rsidTr="00975BFA">
        <w:tc>
          <w:tcPr>
            <w:tcW w:w="4889" w:type="dxa"/>
          </w:tcPr>
          <w:p w14:paraId="44339C61" w14:textId="77777777" w:rsidR="00B50DAE" w:rsidRPr="00CA77B3" w:rsidRDefault="00B50DAE" w:rsidP="00975BFA">
            <w:pPr>
              <w:jc w:val="both"/>
            </w:pPr>
          </w:p>
        </w:tc>
        <w:tc>
          <w:tcPr>
            <w:tcW w:w="4889" w:type="dxa"/>
          </w:tcPr>
          <w:p w14:paraId="0B0309FC" w14:textId="77777777" w:rsidR="00B50DAE" w:rsidRPr="00CA77B3" w:rsidRDefault="00B50DAE" w:rsidP="00975BFA">
            <w:pPr>
              <w:jc w:val="both"/>
            </w:pPr>
            <w:r w:rsidRPr="00CA77B3">
              <w:t>TITOLO V  RIDUZIONI ATTIVITA’ FINANZIARIE</w:t>
            </w:r>
          </w:p>
        </w:tc>
      </w:tr>
      <w:tr w:rsidR="00B50DAE" w:rsidRPr="00CA77B3" w14:paraId="62AB74EF" w14:textId="77777777" w:rsidTr="00975BFA">
        <w:tc>
          <w:tcPr>
            <w:tcW w:w="4889" w:type="dxa"/>
          </w:tcPr>
          <w:p w14:paraId="16950704" w14:textId="77777777" w:rsidR="00B50DAE" w:rsidRPr="00CA77B3" w:rsidRDefault="00B50DAE" w:rsidP="00975BFA">
            <w:pPr>
              <w:jc w:val="both"/>
            </w:pPr>
            <w:r w:rsidRPr="00CA77B3">
              <w:t>TITOLO V     ACCENSIONI DI PRESTITI</w:t>
            </w:r>
          </w:p>
        </w:tc>
        <w:tc>
          <w:tcPr>
            <w:tcW w:w="4889" w:type="dxa"/>
          </w:tcPr>
          <w:p w14:paraId="6E3AD933" w14:textId="77777777" w:rsidR="00B50DAE" w:rsidRPr="00CA77B3" w:rsidRDefault="00B50DAE" w:rsidP="00975BFA">
            <w:pPr>
              <w:jc w:val="both"/>
            </w:pPr>
            <w:r w:rsidRPr="00CA77B3">
              <w:t>TITOLO VI     ACCENSIONI DI PRESTITI</w:t>
            </w:r>
          </w:p>
        </w:tc>
      </w:tr>
      <w:tr w:rsidR="00B50DAE" w:rsidRPr="00CA77B3" w14:paraId="6EF4112A" w14:textId="77777777" w:rsidTr="00975BFA">
        <w:tc>
          <w:tcPr>
            <w:tcW w:w="4889" w:type="dxa"/>
          </w:tcPr>
          <w:p w14:paraId="66B1D4F5" w14:textId="77777777" w:rsidR="00B50DAE" w:rsidRPr="00CA77B3" w:rsidRDefault="00B50DAE" w:rsidP="00975BFA">
            <w:pPr>
              <w:jc w:val="both"/>
            </w:pPr>
          </w:p>
        </w:tc>
        <w:tc>
          <w:tcPr>
            <w:tcW w:w="4889" w:type="dxa"/>
          </w:tcPr>
          <w:p w14:paraId="4F439691" w14:textId="77777777" w:rsidR="00B50DAE" w:rsidRPr="00CA77B3" w:rsidRDefault="00B50DAE" w:rsidP="00975BFA">
            <w:pPr>
              <w:jc w:val="both"/>
            </w:pPr>
            <w:r w:rsidRPr="00CA77B3">
              <w:t>TITOLO VII  ANTICIPAZIONI TESORERIA</w:t>
            </w:r>
          </w:p>
        </w:tc>
      </w:tr>
      <w:tr w:rsidR="00B50DAE" w:rsidRPr="00CA77B3" w14:paraId="66D71487" w14:textId="77777777" w:rsidTr="00975BFA">
        <w:tc>
          <w:tcPr>
            <w:tcW w:w="4889" w:type="dxa"/>
          </w:tcPr>
          <w:p w14:paraId="244365F4" w14:textId="77777777" w:rsidR="00B50DAE" w:rsidRPr="00CA77B3" w:rsidRDefault="00B50DAE" w:rsidP="00975BFA">
            <w:pPr>
              <w:jc w:val="both"/>
            </w:pPr>
            <w:r w:rsidRPr="00CA77B3">
              <w:t>TITOLO VI   PARTITE DI GIRO</w:t>
            </w:r>
          </w:p>
        </w:tc>
        <w:tc>
          <w:tcPr>
            <w:tcW w:w="4889" w:type="dxa"/>
          </w:tcPr>
          <w:p w14:paraId="48AB187B" w14:textId="77777777" w:rsidR="00B50DAE" w:rsidRPr="00CA77B3" w:rsidRDefault="00B50DAE" w:rsidP="00975BFA">
            <w:pPr>
              <w:jc w:val="both"/>
            </w:pPr>
            <w:r w:rsidRPr="00CA77B3">
              <w:t>TITOLO IX   PARTITE DI GIRO</w:t>
            </w:r>
          </w:p>
        </w:tc>
      </w:tr>
    </w:tbl>
    <w:p w14:paraId="643B63D2" w14:textId="77777777" w:rsidR="00B50DAE" w:rsidRPr="00CA77B3" w:rsidRDefault="00B50DAE" w:rsidP="00B50DAE">
      <w:pPr>
        <w:jc w:val="both"/>
        <w:rPr>
          <w:b/>
        </w:rPr>
      </w:pPr>
    </w:p>
    <w:p w14:paraId="557154E4" w14:textId="77777777" w:rsidR="00B50DAE" w:rsidRPr="00CA77B3" w:rsidRDefault="00B50DAE" w:rsidP="00B50DAE">
      <w:pPr>
        <w:jc w:val="both"/>
      </w:pPr>
      <w:r w:rsidRPr="00CA77B3">
        <w:t xml:space="preserve">Come si vede, la divisione in titoli è pressoché identica; Semplicemente, è stato aggiunto il nuovo titolo V che prima era inserito nel titolo IV (si tratta della vendita di titoli o della restituzione di somme prestate dal Comune) e il vecchio titolo V è stato scisso in due. </w:t>
      </w:r>
    </w:p>
    <w:p w14:paraId="77D2945A" w14:textId="77777777" w:rsidR="00B50DAE" w:rsidRPr="00CA77B3" w:rsidRDefault="00B50DAE" w:rsidP="00B50DAE">
      <w:pPr>
        <w:jc w:val="both"/>
      </w:pPr>
    </w:p>
    <w:p w14:paraId="6492459E" w14:textId="77777777" w:rsidR="00B50DAE" w:rsidRPr="00CA77B3" w:rsidRDefault="00B50DAE" w:rsidP="00B50DAE">
      <w:pPr>
        <w:jc w:val="both"/>
        <w:rPr>
          <w:b/>
        </w:rPr>
      </w:pPr>
      <w:r w:rsidRPr="00CA77B3">
        <w:rPr>
          <w:b/>
        </w:rPr>
        <w:t>USCITE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0"/>
        <w:gridCol w:w="4818"/>
      </w:tblGrid>
      <w:tr w:rsidR="00B50DAE" w:rsidRPr="00CA77B3" w14:paraId="01A2C0A7" w14:textId="77777777" w:rsidTr="00975BFA">
        <w:tc>
          <w:tcPr>
            <w:tcW w:w="4889" w:type="dxa"/>
          </w:tcPr>
          <w:p w14:paraId="5A85A13A" w14:textId="77777777" w:rsidR="00B50DAE" w:rsidRPr="00CA77B3" w:rsidRDefault="00B50DAE" w:rsidP="00975BFA">
            <w:pPr>
              <w:jc w:val="both"/>
              <w:rPr>
                <w:b/>
              </w:rPr>
            </w:pPr>
            <w:r w:rsidRPr="00CA77B3">
              <w:rPr>
                <w:b/>
              </w:rPr>
              <w:t>VECCHIA STRUTTURA</w:t>
            </w:r>
          </w:p>
        </w:tc>
        <w:tc>
          <w:tcPr>
            <w:tcW w:w="4889" w:type="dxa"/>
          </w:tcPr>
          <w:p w14:paraId="53871E50" w14:textId="77777777" w:rsidR="00B50DAE" w:rsidRPr="00CA77B3" w:rsidRDefault="00B50DAE" w:rsidP="00975BFA">
            <w:pPr>
              <w:jc w:val="both"/>
              <w:rPr>
                <w:b/>
              </w:rPr>
            </w:pPr>
            <w:r w:rsidRPr="00CA77B3">
              <w:rPr>
                <w:b/>
              </w:rPr>
              <w:t>NUOVA STRUTTURA</w:t>
            </w:r>
          </w:p>
        </w:tc>
      </w:tr>
      <w:tr w:rsidR="00B50DAE" w:rsidRPr="00CA77B3" w14:paraId="2D3C19B7" w14:textId="77777777" w:rsidTr="00975BFA">
        <w:tc>
          <w:tcPr>
            <w:tcW w:w="4889" w:type="dxa"/>
          </w:tcPr>
          <w:p w14:paraId="5BC5751F" w14:textId="77777777" w:rsidR="00B50DAE" w:rsidRPr="00CA77B3" w:rsidRDefault="00B50DAE" w:rsidP="00975BFA">
            <w:pPr>
              <w:jc w:val="both"/>
            </w:pPr>
            <w:r w:rsidRPr="00CA77B3">
              <w:t>TITOLO I    SPESE CORRENTI</w:t>
            </w:r>
          </w:p>
        </w:tc>
        <w:tc>
          <w:tcPr>
            <w:tcW w:w="4889" w:type="dxa"/>
          </w:tcPr>
          <w:p w14:paraId="412B17C8" w14:textId="77777777" w:rsidR="00B50DAE" w:rsidRPr="00CA77B3" w:rsidRDefault="00B50DAE" w:rsidP="00975BFA">
            <w:pPr>
              <w:jc w:val="both"/>
            </w:pPr>
            <w:r w:rsidRPr="00CA77B3">
              <w:t>TITOLO I    SPESE CORRENTI</w:t>
            </w:r>
          </w:p>
        </w:tc>
      </w:tr>
      <w:tr w:rsidR="00B50DAE" w:rsidRPr="00CA77B3" w14:paraId="48DFA1A0" w14:textId="77777777" w:rsidTr="00975BFA">
        <w:tc>
          <w:tcPr>
            <w:tcW w:w="4889" w:type="dxa"/>
          </w:tcPr>
          <w:p w14:paraId="75B354F3" w14:textId="77777777" w:rsidR="00B50DAE" w:rsidRPr="00CA77B3" w:rsidRDefault="00B50DAE" w:rsidP="00975BFA">
            <w:pPr>
              <w:jc w:val="both"/>
            </w:pPr>
            <w:r w:rsidRPr="00CA77B3">
              <w:t>TITOLO II   SPESE IN CONTO CAPITALE</w:t>
            </w:r>
          </w:p>
        </w:tc>
        <w:tc>
          <w:tcPr>
            <w:tcW w:w="4889" w:type="dxa"/>
          </w:tcPr>
          <w:p w14:paraId="7BCED573" w14:textId="77777777" w:rsidR="00B50DAE" w:rsidRPr="00CA77B3" w:rsidRDefault="00B50DAE" w:rsidP="00975BFA">
            <w:pPr>
              <w:jc w:val="both"/>
            </w:pPr>
            <w:r w:rsidRPr="00CA77B3">
              <w:t>TITOLO II   SPESE IN CONTO CAPITALE</w:t>
            </w:r>
          </w:p>
        </w:tc>
      </w:tr>
      <w:tr w:rsidR="00B50DAE" w:rsidRPr="00CA77B3" w14:paraId="56D23AF7" w14:textId="77777777" w:rsidTr="00975BFA">
        <w:tc>
          <w:tcPr>
            <w:tcW w:w="4889" w:type="dxa"/>
          </w:tcPr>
          <w:p w14:paraId="464852E9" w14:textId="77777777" w:rsidR="00B50DAE" w:rsidRPr="00CA77B3" w:rsidRDefault="00B50DAE" w:rsidP="00975BFA">
            <w:pPr>
              <w:jc w:val="both"/>
            </w:pPr>
          </w:p>
        </w:tc>
        <w:tc>
          <w:tcPr>
            <w:tcW w:w="4889" w:type="dxa"/>
          </w:tcPr>
          <w:p w14:paraId="5FA1A20A" w14:textId="77777777" w:rsidR="00B50DAE" w:rsidRPr="00CA77B3" w:rsidRDefault="00B50DAE" w:rsidP="00975BFA">
            <w:pPr>
              <w:jc w:val="both"/>
            </w:pPr>
            <w:r w:rsidRPr="00CA77B3">
              <w:t>TITOLO III  INCREMENTO ATTIVITA’ FINANZIARIE</w:t>
            </w:r>
          </w:p>
        </w:tc>
      </w:tr>
      <w:tr w:rsidR="00B50DAE" w:rsidRPr="00CA77B3" w14:paraId="2309193E" w14:textId="77777777" w:rsidTr="00975BFA">
        <w:tc>
          <w:tcPr>
            <w:tcW w:w="4889" w:type="dxa"/>
          </w:tcPr>
          <w:p w14:paraId="5A2CEDB2" w14:textId="77777777" w:rsidR="00B50DAE" w:rsidRPr="00CA77B3" w:rsidRDefault="00B50DAE" w:rsidP="00975BFA">
            <w:pPr>
              <w:jc w:val="both"/>
            </w:pPr>
            <w:r w:rsidRPr="00CA77B3">
              <w:t>TITOLO III  QUOTA CAPITALE RIMBORSO PRESTITI</w:t>
            </w:r>
          </w:p>
        </w:tc>
        <w:tc>
          <w:tcPr>
            <w:tcW w:w="4889" w:type="dxa"/>
          </w:tcPr>
          <w:p w14:paraId="08A7A8F3" w14:textId="77777777" w:rsidR="00B50DAE" w:rsidRPr="00CA77B3" w:rsidRDefault="00B50DAE" w:rsidP="00975BFA">
            <w:pPr>
              <w:jc w:val="both"/>
            </w:pPr>
            <w:r w:rsidRPr="00CA77B3">
              <w:t>TITOLO IV  QUOTA CAPITALE RIMBORSO PRESTITI</w:t>
            </w:r>
          </w:p>
        </w:tc>
      </w:tr>
      <w:tr w:rsidR="00B50DAE" w:rsidRPr="00CA77B3" w14:paraId="2E246E82" w14:textId="77777777" w:rsidTr="00975BFA">
        <w:tc>
          <w:tcPr>
            <w:tcW w:w="4889" w:type="dxa"/>
          </w:tcPr>
          <w:p w14:paraId="2F1A2462" w14:textId="77777777" w:rsidR="00B50DAE" w:rsidRPr="00CA77B3" w:rsidRDefault="00B50DAE" w:rsidP="00975BFA">
            <w:pPr>
              <w:jc w:val="both"/>
            </w:pPr>
          </w:p>
        </w:tc>
        <w:tc>
          <w:tcPr>
            <w:tcW w:w="4889" w:type="dxa"/>
          </w:tcPr>
          <w:p w14:paraId="18F29AAC" w14:textId="77777777" w:rsidR="00B50DAE" w:rsidRPr="00CA77B3" w:rsidRDefault="00B50DAE" w:rsidP="00975BFA">
            <w:pPr>
              <w:jc w:val="both"/>
            </w:pPr>
            <w:r w:rsidRPr="00CA77B3">
              <w:t>TITOLO V   RIMBORSO ANTICIPAZIONI TESORERIA</w:t>
            </w:r>
          </w:p>
        </w:tc>
      </w:tr>
      <w:tr w:rsidR="00B50DAE" w:rsidRPr="00CA77B3" w14:paraId="25202E4D" w14:textId="77777777" w:rsidTr="00975BFA">
        <w:tc>
          <w:tcPr>
            <w:tcW w:w="4889" w:type="dxa"/>
          </w:tcPr>
          <w:p w14:paraId="46B049A4" w14:textId="77777777" w:rsidR="00B50DAE" w:rsidRPr="00CA77B3" w:rsidRDefault="00B50DAE" w:rsidP="00975BFA">
            <w:pPr>
              <w:jc w:val="both"/>
            </w:pPr>
            <w:r w:rsidRPr="00CA77B3">
              <w:t>TITOLO IV  PARTITE DI GIRO</w:t>
            </w:r>
          </w:p>
        </w:tc>
        <w:tc>
          <w:tcPr>
            <w:tcW w:w="4889" w:type="dxa"/>
          </w:tcPr>
          <w:p w14:paraId="7405FF4D" w14:textId="77777777" w:rsidR="00B50DAE" w:rsidRPr="00CA77B3" w:rsidRDefault="00B50DAE" w:rsidP="00975BFA">
            <w:pPr>
              <w:jc w:val="both"/>
            </w:pPr>
            <w:r w:rsidRPr="00CA77B3">
              <w:t>TITOLO VII   PARTITE DI GIRO</w:t>
            </w:r>
          </w:p>
        </w:tc>
      </w:tr>
    </w:tbl>
    <w:p w14:paraId="5E9D073A" w14:textId="77777777" w:rsidR="00B50DAE" w:rsidRPr="00CA77B3" w:rsidRDefault="00B50DAE" w:rsidP="00B50DAE">
      <w:pPr>
        <w:jc w:val="both"/>
      </w:pPr>
    </w:p>
    <w:p w14:paraId="492B324F" w14:textId="77777777" w:rsidR="00B50DAE" w:rsidRPr="00CA77B3" w:rsidRDefault="00B50DAE" w:rsidP="00B50DAE">
      <w:pPr>
        <w:jc w:val="both"/>
      </w:pPr>
      <w:r w:rsidRPr="00CA77B3">
        <w:t>Possono essere fatte le medesime considerazioni svolte per l’entrata.</w:t>
      </w:r>
    </w:p>
    <w:p w14:paraId="1935CC4E" w14:textId="77777777" w:rsidR="00B50DAE" w:rsidRPr="00CA77B3" w:rsidRDefault="00B50DAE" w:rsidP="00B50DAE">
      <w:pPr>
        <w:jc w:val="both"/>
      </w:pPr>
      <w:r w:rsidRPr="00CA77B3">
        <w:t>Anche le sottoclassificazioni sia dell’entrata che della spesa sono simili a quelle odierne.</w:t>
      </w:r>
    </w:p>
    <w:p w14:paraId="3FEB8A60" w14:textId="77777777" w:rsidR="00B50DAE" w:rsidRPr="00CA77B3" w:rsidRDefault="00B50DAE" w:rsidP="000E1F9B">
      <w:pPr>
        <w:jc w:val="both"/>
      </w:pPr>
      <w:r w:rsidRPr="00CA77B3">
        <w:t>Oltre alla struttura, è cambiata di conseguenza, almeno in parte, anche la numerazione dei capitoli, per cui nelle tabelle sottoposte ai consiglieri vengono riportate la vecchia e la nuova numerazione.</w:t>
      </w:r>
    </w:p>
    <w:p w14:paraId="27821D96" w14:textId="77777777" w:rsidR="00EA7DC8" w:rsidRPr="00CA77B3" w:rsidRDefault="00EA7DC8" w:rsidP="000E1F9B">
      <w:pPr>
        <w:jc w:val="both"/>
      </w:pPr>
    </w:p>
    <w:p w14:paraId="4A286E00" w14:textId="77777777" w:rsidR="00F0057D" w:rsidRPr="00CA77B3" w:rsidRDefault="00F0057D" w:rsidP="000E1F9B">
      <w:pPr>
        <w:jc w:val="both"/>
      </w:pPr>
    </w:p>
    <w:p w14:paraId="7B196740" w14:textId="77777777" w:rsidR="00F0057D" w:rsidRPr="00CA77B3" w:rsidRDefault="00F0057D" w:rsidP="00EA7DC8">
      <w:pPr>
        <w:pStyle w:val="Titolo1"/>
        <w:keepNext w:val="0"/>
        <w:keepLines w:val="0"/>
        <w:widowControl w:val="0"/>
        <w:pBdr>
          <w:top w:val="single" w:sz="6" w:space="1" w:color="000000" w:shadow="1"/>
          <w:left w:val="single" w:sz="6" w:space="4" w:color="000000" w:shadow="1"/>
          <w:bottom w:val="single" w:sz="6" w:space="1" w:color="000000" w:shadow="1"/>
          <w:right w:val="single" w:sz="6" w:space="4" w:color="000000" w:shadow="1"/>
        </w:pBdr>
        <w:shd w:val="clear" w:color="auto" w:fill="B6DDE8"/>
        <w:overflowPunct w:val="0"/>
        <w:autoSpaceDE w:val="0"/>
        <w:autoSpaceDN w:val="0"/>
        <w:adjustRightInd w:val="0"/>
        <w:spacing w:before="0" w:after="360" w:line="240" w:lineRule="auto"/>
        <w:jc w:val="center"/>
        <w:rPr>
          <w:rFonts w:ascii="Times New Roman" w:eastAsia="Times New Roman" w:hAnsi="Times New Roman" w:cs="Times New Roman"/>
          <w:bCs/>
          <w:kern w:val="32"/>
          <w:sz w:val="32"/>
          <w:szCs w:val="32"/>
          <w:lang w:val="x-none" w:eastAsia="x-none"/>
        </w:rPr>
      </w:pPr>
      <w:bookmarkStart w:id="3" w:name="_Toc215130327"/>
      <w:r w:rsidRPr="00CA77B3">
        <w:rPr>
          <w:rFonts w:ascii="Times New Roman" w:eastAsia="Times New Roman" w:hAnsi="Times New Roman" w:cs="Times New Roman"/>
          <w:bCs/>
          <w:kern w:val="32"/>
          <w:sz w:val="32"/>
          <w:szCs w:val="32"/>
          <w:lang w:val="x-none" w:eastAsia="x-none"/>
        </w:rPr>
        <w:t>3. LE NUOVE COMPETENZE IN MATERIA DI BILANCIO E SUE VARIAZIONI</w:t>
      </w:r>
      <w:bookmarkEnd w:id="3"/>
    </w:p>
    <w:p w14:paraId="0BF0E261" w14:textId="77777777" w:rsidR="00F0057D" w:rsidRPr="00CA77B3" w:rsidRDefault="001F264E" w:rsidP="000E1F9B">
      <w:pPr>
        <w:jc w:val="both"/>
      </w:pPr>
      <w:r w:rsidRPr="00CA77B3">
        <w:t xml:space="preserve">Un’altra rilevante novità è la semplificazione delle modalità di variazioni al bilancio di previsione, che nasce dal diverso regime delle competenze che </w:t>
      </w:r>
      <w:r w:rsidR="00D46258" w:rsidRPr="00CA77B3">
        <w:t xml:space="preserve">ha </w:t>
      </w:r>
      <w:r w:rsidRPr="00CA77B3">
        <w:t>debutta</w:t>
      </w:r>
      <w:r w:rsidR="00D46258" w:rsidRPr="00CA77B3">
        <w:t>to</w:t>
      </w:r>
      <w:r w:rsidRPr="00CA77B3">
        <w:t xml:space="preserve"> nel 2016.</w:t>
      </w:r>
    </w:p>
    <w:p w14:paraId="33295956" w14:textId="77777777" w:rsidR="00391145" w:rsidRPr="00CA77B3" w:rsidRDefault="001F264E" w:rsidP="00391145">
      <w:pPr>
        <w:jc w:val="both"/>
      </w:pPr>
      <w:r w:rsidRPr="00CA77B3">
        <w:t xml:space="preserve">Infatti, la funzione di indirizzo e controllo del Consiglio Comunale viene concentrata sui documenti di indirizzo veri e propri, piuttosto che su un maggiore livello di analisi. Conseguentemente, come è stato previsto nel nuovo regolamento di Contabilità, il DUP viene approvato definitivamente dal Consiglio Comunale, che così approva anche non solo il Piano delle opere Pubbliche e il Piano delle alienazioni, </w:t>
      </w:r>
      <w:r w:rsidR="00700518" w:rsidRPr="00CA77B3">
        <w:t xml:space="preserve">ma anche </w:t>
      </w:r>
      <w:r w:rsidR="00A752DE" w:rsidRPr="00CA77B3">
        <w:t xml:space="preserve">il programma </w:t>
      </w:r>
      <w:r w:rsidR="00700518" w:rsidRPr="00CA77B3">
        <w:t>triennale</w:t>
      </w:r>
      <w:r w:rsidR="00A752DE" w:rsidRPr="00CA77B3">
        <w:t xml:space="preserve"> delle acquisizioni di beni e servizi di valore superiore ad € </w:t>
      </w:r>
      <w:r w:rsidR="00700518" w:rsidRPr="00CA77B3">
        <w:t>1</w:t>
      </w:r>
      <w:r w:rsidR="00A752DE" w:rsidRPr="00CA77B3">
        <w:t>40.000,00</w:t>
      </w:r>
      <w:r w:rsidRPr="00CA77B3">
        <w:t xml:space="preserve">. Sul piano degli schemi di bilancio, per altro verso, </w:t>
      </w:r>
      <w:r w:rsidR="00391145" w:rsidRPr="00CA77B3">
        <w:t xml:space="preserve">il Consiglio Comunale, in sede di approvazione del bilancio, si spinge fin ad un livello di dettaglio, come detto, pari alla tipologia in entrata e al titolo in uscita (missione-programma-titolo); in entrambi i casi quindi con un livello di dettaglio in meno rispetto </w:t>
      </w:r>
      <w:r w:rsidR="00D46258" w:rsidRPr="00CA77B3">
        <w:t>al precedente regime</w:t>
      </w:r>
      <w:r w:rsidR="00391145" w:rsidRPr="00CA77B3">
        <w:t>.</w:t>
      </w:r>
    </w:p>
    <w:p w14:paraId="545517A0" w14:textId="77777777" w:rsidR="001F264E" w:rsidRPr="00CA77B3" w:rsidRDefault="00FB7469" w:rsidP="000E1F9B">
      <w:pPr>
        <w:jc w:val="both"/>
      </w:pPr>
      <w:r w:rsidRPr="00CA77B3">
        <w:t>Pertanto, la nuova competenza in materia di variazioni di bilancio è la seguente:</w:t>
      </w:r>
    </w:p>
    <w:p w14:paraId="5F7837BB" w14:textId="77777777" w:rsidR="00FB7469" w:rsidRPr="00CA77B3" w:rsidRDefault="00FB7469" w:rsidP="000E1F9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3036"/>
        <w:gridCol w:w="3052"/>
      </w:tblGrid>
      <w:tr w:rsidR="00FB7469" w:rsidRPr="00CA77B3" w14:paraId="763A7585" w14:textId="77777777" w:rsidTr="00975BFA">
        <w:tc>
          <w:tcPr>
            <w:tcW w:w="3626" w:type="dxa"/>
          </w:tcPr>
          <w:p w14:paraId="21FEDC46" w14:textId="77777777" w:rsidR="00FB7469" w:rsidRPr="00CA77B3" w:rsidRDefault="00FB7469" w:rsidP="00975BFA">
            <w:pPr>
              <w:jc w:val="both"/>
              <w:rPr>
                <w:b/>
              </w:rPr>
            </w:pPr>
          </w:p>
        </w:tc>
        <w:tc>
          <w:tcPr>
            <w:tcW w:w="3114" w:type="dxa"/>
          </w:tcPr>
          <w:p w14:paraId="49552D04" w14:textId="77777777" w:rsidR="00FB7469" w:rsidRPr="00CA77B3" w:rsidRDefault="00FB7469" w:rsidP="00975BFA">
            <w:pPr>
              <w:jc w:val="both"/>
              <w:rPr>
                <w:b/>
              </w:rPr>
            </w:pPr>
            <w:r w:rsidRPr="00CA77B3">
              <w:rPr>
                <w:b/>
              </w:rPr>
              <w:t>ENTRATA</w:t>
            </w:r>
          </w:p>
        </w:tc>
        <w:tc>
          <w:tcPr>
            <w:tcW w:w="3114" w:type="dxa"/>
          </w:tcPr>
          <w:p w14:paraId="63ACC625" w14:textId="77777777" w:rsidR="00FB7469" w:rsidRPr="00CA77B3" w:rsidRDefault="00FB7469" w:rsidP="00975BFA">
            <w:pPr>
              <w:jc w:val="both"/>
              <w:rPr>
                <w:b/>
              </w:rPr>
            </w:pPr>
            <w:r w:rsidRPr="00CA77B3">
              <w:rPr>
                <w:b/>
              </w:rPr>
              <w:t>USCITA</w:t>
            </w:r>
          </w:p>
        </w:tc>
      </w:tr>
      <w:tr w:rsidR="00FB7469" w:rsidRPr="00CA77B3" w14:paraId="2DDB2601" w14:textId="77777777" w:rsidTr="00975BFA">
        <w:tc>
          <w:tcPr>
            <w:tcW w:w="3626" w:type="dxa"/>
          </w:tcPr>
          <w:p w14:paraId="3BBB67BA" w14:textId="77777777" w:rsidR="00FB7469" w:rsidRPr="00CA77B3" w:rsidRDefault="00FB7469" w:rsidP="00975BFA">
            <w:pPr>
              <w:jc w:val="both"/>
              <w:rPr>
                <w:b/>
              </w:rPr>
            </w:pPr>
            <w:r w:rsidRPr="00CA77B3">
              <w:rPr>
                <w:b/>
              </w:rPr>
              <w:t>CONSIGLIO COMUNALE</w:t>
            </w:r>
          </w:p>
        </w:tc>
        <w:tc>
          <w:tcPr>
            <w:tcW w:w="3114" w:type="dxa"/>
          </w:tcPr>
          <w:p w14:paraId="1F872084" w14:textId="77777777" w:rsidR="00FB7469" w:rsidRPr="00CA77B3" w:rsidRDefault="00FB7469" w:rsidP="00975BFA">
            <w:pPr>
              <w:jc w:val="both"/>
            </w:pPr>
            <w:r w:rsidRPr="00CA77B3">
              <w:t>Spostamenti fra diversi titoli o diverse tipologie</w:t>
            </w:r>
          </w:p>
        </w:tc>
        <w:tc>
          <w:tcPr>
            <w:tcW w:w="3114" w:type="dxa"/>
          </w:tcPr>
          <w:p w14:paraId="1DF7288B" w14:textId="77777777" w:rsidR="00FB7469" w:rsidRPr="00CA77B3" w:rsidRDefault="00FB7469" w:rsidP="00975BFA">
            <w:pPr>
              <w:jc w:val="both"/>
            </w:pPr>
            <w:r w:rsidRPr="00CA77B3">
              <w:t>Spostamenti fra diversi titoli o diverse missioni o diversi programmi</w:t>
            </w:r>
          </w:p>
        </w:tc>
      </w:tr>
      <w:tr w:rsidR="00FB7469" w:rsidRPr="00CA77B3" w14:paraId="23F0DE9F" w14:textId="77777777" w:rsidTr="00975BFA">
        <w:tc>
          <w:tcPr>
            <w:tcW w:w="3626" w:type="dxa"/>
          </w:tcPr>
          <w:p w14:paraId="4B4DAF1B" w14:textId="77777777" w:rsidR="00FB7469" w:rsidRPr="00CA77B3" w:rsidRDefault="00FB7469" w:rsidP="00975BFA">
            <w:pPr>
              <w:jc w:val="both"/>
              <w:rPr>
                <w:b/>
              </w:rPr>
            </w:pPr>
            <w:r w:rsidRPr="00CA77B3">
              <w:rPr>
                <w:b/>
              </w:rPr>
              <w:t>GIUNTA COMUNALE</w:t>
            </w:r>
          </w:p>
        </w:tc>
        <w:tc>
          <w:tcPr>
            <w:tcW w:w="3114" w:type="dxa"/>
          </w:tcPr>
          <w:p w14:paraId="7E43883B" w14:textId="77777777" w:rsidR="00FB7469" w:rsidRPr="00CA77B3" w:rsidRDefault="00FB7469" w:rsidP="00975BFA">
            <w:pPr>
              <w:jc w:val="both"/>
            </w:pPr>
            <w:r w:rsidRPr="00CA77B3">
              <w:t>Spostamenti fra diverse categorie all’interno di una stessa tipologia</w:t>
            </w:r>
          </w:p>
        </w:tc>
        <w:tc>
          <w:tcPr>
            <w:tcW w:w="3114" w:type="dxa"/>
          </w:tcPr>
          <w:p w14:paraId="7FCE2F13" w14:textId="77777777" w:rsidR="00FB7469" w:rsidRPr="00CA77B3" w:rsidRDefault="00FB7469" w:rsidP="00975BFA">
            <w:pPr>
              <w:jc w:val="both"/>
            </w:pPr>
            <w:r w:rsidRPr="00CA77B3">
              <w:t>Spostamenti fra diversi macroaggregati all’interno di uno stesso programma</w:t>
            </w:r>
          </w:p>
        </w:tc>
      </w:tr>
      <w:tr w:rsidR="00FB7469" w:rsidRPr="00CA77B3" w14:paraId="5A18CF86" w14:textId="77777777" w:rsidTr="00975BFA">
        <w:tc>
          <w:tcPr>
            <w:tcW w:w="3626" w:type="dxa"/>
          </w:tcPr>
          <w:p w14:paraId="6A9930D5" w14:textId="77777777" w:rsidR="00FB7469" w:rsidRPr="00CA77B3" w:rsidRDefault="00FB7469" w:rsidP="00975BFA">
            <w:pPr>
              <w:jc w:val="both"/>
              <w:rPr>
                <w:b/>
              </w:rPr>
            </w:pPr>
          </w:p>
        </w:tc>
        <w:tc>
          <w:tcPr>
            <w:tcW w:w="3114" w:type="dxa"/>
          </w:tcPr>
          <w:p w14:paraId="11F348A1" w14:textId="77777777" w:rsidR="00FB7469" w:rsidRPr="00CA77B3" w:rsidRDefault="00FB7469" w:rsidP="00975BFA">
            <w:pPr>
              <w:jc w:val="both"/>
            </w:pPr>
          </w:p>
        </w:tc>
        <w:tc>
          <w:tcPr>
            <w:tcW w:w="3114" w:type="dxa"/>
          </w:tcPr>
          <w:p w14:paraId="3D35F585" w14:textId="77777777" w:rsidR="00FB7469" w:rsidRPr="00CA77B3" w:rsidRDefault="00FB7469" w:rsidP="00975BFA">
            <w:pPr>
              <w:jc w:val="both"/>
            </w:pPr>
            <w:r w:rsidRPr="00CA77B3">
              <w:t>Spostamenti compensativi fra diversi missioni o programmi limitatamente alle spese di personale dovute a mobilità interna.</w:t>
            </w:r>
          </w:p>
        </w:tc>
      </w:tr>
      <w:tr w:rsidR="00FB7469" w:rsidRPr="00CA77B3" w14:paraId="53E722B8" w14:textId="77777777" w:rsidTr="00975BFA">
        <w:tc>
          <w:tcPr>
            <w:tcW w:w="3626" w:type="dxa"/>
          </w:tcPr>
          <w:p w14:paraId="04DE2A37" w14:textId="77777777" w:rsidR="00FB7469" w:rsidRPr="00CA77B3" w:rsidRDefault="00FB7469" w:rsidP="00975BFA">
            <w:pPr>
              <w:jc w:val="both"/>
              <w:rPr>
                <w:b/>
              </w:rPr>
            </w:pPr>
          </w:p>
        </w:tc>
        <w:tc>
          <w:tcPr>
            <w:tcW w:w="3114" w:type="dxa"/>
          </w:tcPr>
          <w:p w14:paraId="5A062DFC" w14:textId="77777777" w:rsidR="00FB7469" w:rsidRPr="00CA77B3" w:rsidRDefault="00FB7469" w:rsidP="00975BFA">
            <w:pPr>
              <w:jc w:val="both"/>
            </w:pPr>
            <w:r w:rsidRPr="00CA77B3">
              <w:t>Variazioni agli stanziamenti di cassa</w:t>
            </w:r>
          </w:p>
        </w:tc>
        <w:tc>
          <w:tcPr>
            <w:tcW w:w="3114" w:type="dxa"/>
          </w:tcPr>
          <w:p w14:paraId="3A1F0A9E" w14:textId="77777777" w:rsidR="00FB7469" w:rsidRPr="00CA77B3" w:rsidRDefault="00FB7469" w:rsidP="00975BFA">
            <w:pPr>
              <w:jc w:val="both"/>
            </w:pPr>
            <w:r w:rsidRPr="00CA77B3">
              <w:t>Variazioni agli stanziamenti di cassa</w:t>
            </w:r>
          </w:p>
        </w:tc>
      </w:tr>
      <w:tr w:rsidR="00FB7469" w:rsidRPr="00CA77B3" w14:paraId="5F1B5365" w14:textId="77777777" w:rsidTr="00975BFA">
        <w:tc>
          <w:tcPr>
            <w:tcW w:w="3626" w:type="dxa"/>
          </w:tcPr>
          <w:p w14:paraId="652BC615" w14:textId="77777777" w:rsidR="00FB7469" w:rsidRPr="00CA77B3" w:rsidRDefault="00FB7469" w:rsidP="00975BFA">
            <w:pPr>
              <w:jc w:val="both"/>
              <w:rPr>
                <w:b/>
              </w:rPr>
            </w:pPr>
            <w:r w:rsidRPr="00CA77B3">
              <w:rPr>
                <w:b/>
              </w:rPr>
              <w:t>FUNZIONARI</w:t>
            </w:r>
          </w:p>
        </w:tc>
        <w:tc>
          <w:tcPr>
            <w:tcW w:w="3114" w:type="dxa"/>
          </w:tcPr>
          <w:p w14:paraId="5B5AFA48" w14:textId="77777777" w:rsidR="00FB7469" w:rsidRPr="00CA77B3" w:rsidRDefault="00FB7469" w:rsidP="00975BFA">
            <w:pPr>
              <w:jc w:val="both"/>
            </w:pPr>
            <w:r w:rsidRPr="00CA77B3">
              <w:t>Spostamenti fra capitoli della stessa categoria</w:t>
            </w:r>
          </w:p>
        </w:tc>
        <w:tc>
          <w:tcPr>
            <w:tcW w:w="3114" w:type="dxa"/>
          </w:tcPr>
          <w:p w14:paraId="4C407027" w14:textId="77777777" w:rsidR="00FB7469" w:rsidRPr="00CA77B3" w:rsidRDefault="00FB7469" w:rsidP="00975BFA">
            <w:pPr>
              <w:jc w:val="both"/>
            </w:pPr>
            <w:r w:rsidRPr="00CA77B3">
              <w:t>Spostamenti fra capitoli dello stesso macroaggregato</w:t>
            </w:r>
          </w:p>
        </w:tc>
      </w:tr>
    </w:tbl>
    <w:p w14:paraId="365B319E" w14:textId="77777777" w:rsidR="00FB7469" w:rsidRPr="00CA77B3" w:rsidRDefault="00FB7469" w:rsidP="000E1F9B">
      <w:pPr>
        <w:jc w:val="both"/>
      </w:pPr>
    </w:p>
    <w:p w14:paraId="638B51C3" w14:textId="77777777" w:rsidR="00FB7469" w:rsidRPr="00CA77B3" w:rsidRDefault="00FB7469" w:rsidP="000E1F9B">
      <w:pPr>
        <w:jc w:val="both"/>
      </w:pPr>
      <w:r w:rsidRPr="00CA77B3">
        <w:t>Naturalmente, rimangono di competenza del Consiglio Comunale le variazioni più importanti, cioè quelle non compensative fra una posta e l’altra, ma in diminuzione o in aumento.</w:t>
      </w:r>
    </w:p>
    <w:p w14:paraId="72CC9E19" w14:textId="77777777" w:rsidR="00402437" w:rsidRPr="00CA77B3" w:rsidRDefault="001B1B9E" w:rsidP="000E1F9B">
      <w:pPr>
        <w:jc w:val="both"/>
      </w:pPr>
      <w:r w:rsidRPr="00CA77B3">
        <w:t xml:space="preserve">  </w:t>
      </w:r>
    </w:p>
    <w:p w14:paraId="2EDA1361" w14:textId="77777777" w:rsidR="001F6A33" w:rsidRPr="00CA77B3" w:rsidRDefault="001F6A33" w:rsidP="000E1F9B">
      <w:pPr>
        <w:jc w:val="both"/>
      </w:pPr>
    </w:p>
    <w:p w14:paraId="7F263219" w14:textId="77777777" w:rsidR="007E408D" w:rsidRPr="00CA77B3" w:rsidRDefault="00DE038A" w:rsidP="00EA7DC8">
      <w:pPr>
        <w:pStyle w:val="Titolo1"/>
        <w:keepNext w:val="0"/>
        <w:keepLines w:val="0"/>
        <w:widowControl w:val="0"/>
        <w:pBdr>
          <w:top w:val="single" w:sz="6" w:space="1" w:color="000000" w:shadow="1"/>
          <w:left w:val="single" w:sz="6" w:space="4" w:color="000000" w:shadow="1"/>
          <w:bottom w:val="single" w:sz="6" w:space="1" w:color="000000" w:shadow="1"/>
          <w:right w:val="single" w:sz="6" w:space="4" w:color="000000" w:shadow="1"/>
        </w:pBdr>
        <w:shd w:val="clear" w:color="auto" w:fill="B6DDE8"/>
        <w:overflowPunct w:val="0"/>
        <w:autoSpaceDE w:val="0"/>
        <w:autoSpaceDN w:val="0"/>
        <w:adjustRightInd w:val="0"/>
        <w:spacing w:before="0" w:after="360" w:line="240" w:lineRule="auto"/>
        <w:jc w:val="center"/>
        <w:rPr>
          <w:rFonts w:ascii="Times New Roman" w:eastAsia="Times New Roman" w:hAnsi="Times New Roman" w:cs="Times New Roman"/>
          <w:bCs/>
          <w:kern w:val="32"/>
          <w:sz w:val="32"/>
          <w:szCs w:val="32"/>
          <w:lang w:val="x-none" w:eastAsia="x-none"/>
        </w:rPr>
      </w:pPr>
      <w:bookmarkStart w:id="4" w:name="_Toc215130328"/>
      <w:r w:rsidRPr="00CA77B3">
        <w:rPr>
          <w:rFonts w:ascii="Times New Roman" w:eastAsia="Times New Roman" w:hAnsi="Times New Roman" w:cs="Times New Roman"/>
          <w:bCs/>
          <w:kern w:val="32"/>
          <w:sz w:val="32"/>
          <w:szCs w:val="32"/>
          <w:lang w:val="x-none" w:eastAsia="x-none"/>
        </w:rPr>
        <w:t>4</w:t>
      </w:r>
      <w:r w:rsidR="000120AA" w:rsidRPr="00CA77B3">
        <w:rPr>
          <w:rFonts w:ascii="Times New Roman" w:eastAsia="Times New Roman" w:hAnsi="Times New Roman" w:cs="Times New Roman"/>
          <w:bCs/>
          <w:kern w:val="32"/>
          <w:sz w:val="32"/>
          <w:szCs w:val="32"/>
          <w:lang w:val="x-none" w:eastAsia="x-none"/>
        </w:rPr>
        <w:t xml:space="preserve">. </w:t>
      </w:r>
      <w:r w:rsidR="007E408D" w:rsidRPr="00CA77B3">
        <w:rPr>
          <w:rFonts w:ascii="Times New Roman" w:eastAsia="Times New Roman" w:hAnsi="Times New Roman" w:cs="Times New Roman"/>
          <w:bCs/>
          <w:kern w:val="32"/>
          <w:sz w:val="32"/>
          <w:szCs w:val="32"/>
          <w:lang w:val="x-none" w:eastAsia="x-none"/>
        </w:rPr>
        <w:t>IL BILANCIO 20</w:t>
      </w:r>
      <w:r w:rsidR="00F93C68" w:rsidRPr="00CA77B3">
        <w:rPr>
          <w:rFonts w:ascii="Times New Roman" w:eastAsia="Times New Roman" w:hAnsi="Times New Roman" w:cs="Times New Roman"/>
          <w:bCs/>
          <w:kern w:val="32"/>
          <w:sz w:val="32"/>
          <w:szCs w:val="32"/>
          <w:lang w:val="x-none" w:eastAsia="x-none"/>
        </w:rPr>
        <w:t>2</w:t>
      </w:r>
      <w:r w:rsidR="00CA3E25" w:rsidRPr="00CA77B3">
        <w:rPr>
          <w:rFonts w:ascii="Times New Roman" w:eastAsia="Times New Roman" w:hAnsi="Times New Roman" w:cs="Times New Roman"/>
          <w:bCs/>
          <w:kern w:val="32"/>
          <w:sz w:val="32"/>
          <w:szCs w:val="32"/>
          <w:lang w:val="x-none" w:eastAsia="x-none"/>
        </w:rPr>
        <w:t>6</w:t>
      </w:r>
      <w:r w:rsidR="00D82824" w:rsidRPr="00CA77B3">
        <w:rPr>
          <w:rFonts w:ascii="Times New Roman" w:eastAsia="Times New Roman" w:hAnsi="Times New Roman" w:cs="Times New Roman"/>
          <w:bCs/>
          <w:kern w:val="32"/>
          <w:sz w:val="32"/>
          <w:szCs w:val="32"/>
          <w:lang w:val="x-none" w:eastAsia="x-none"/>
        </w:rPr>
        <w:t>-2</w:t>
      </w:r>
      <w:r w:rsidR="00CA3E25" w:rsidRPr="00CA77B3">
        <w:rPr>
          <w:rFonts w:ascii="Times New Roman" w:eastAsia="Times New Roman" w:hAnsi="Times New Roman" w:cs="Times New Roman"/>
          <w:bCs/>
          <w:kern w:val="32"/>
          <w:sz w:val="32"/>
          <w:szCs w:val="32"/>
          <w:lang w:val="x-none" w:eastAsia="x-none"/>
        </w:rPr>
        <w:t>8</w:t>
      </w:r>
      <w:bookmarkEnd w:id="4"/>
    </w:p>
    <w:p w14:paraId="775CDC52" w14:textId="77777777" w:rsidR="00402437" w:rsidRPr="00CA77B3" w:rsidRDefault="00402437" w:rsidP="000E1F9B">
      <w:pPr>
        <w:jc w:val="both"/>
      </w:pPr>
    </w:p>
    <w:p w14:paraId="407D1DB7" w14:textId="77777777" w:rsidR="007B6315" w:rsidRPr="00CA77B3" w:rsidRDefault="007B6315" w:rsidP="007E408D">
      <w:pPr>
        <w:jc w:val="both"/>
      </w:pPr>
      <w:r w:rsidRPr="00CA77B3">
        <w:t>Il bilancio di previsione è stato predisposto nel pieno rispetto di tutti i principi contabili generali</w:t>
      </w:r>
      <w:r w:rsidR="007E408D" w:rsidRPr="00CA77B3">
        <w:t xml:space="preserve"> </w:t>
      </w:r>
      <w:r w:rsidRPr="00CA77B3">
        <w:t>contenuti nel succitato D.lgs. 118/2011</w:t>
      </w:r>
      <w:r w:rsidR="00F87484" w:rsidRPr="00CA77B3">
        <w:t>, in particolare di quello della competenza finanziaria (All. 4.2)</w:t>
      </w:r>
      <w:r w:rsidR="00373838" w:rsidRPr="00CA77B3">
        <w:t>,</w:t>
      </w:r>
      <w:r w:rsidRPr="00CA77B3">
        <w:t xml:space="preserve"> che garantiscono il consolidamento e la trasparenza dei</w:t>
      </w:r>
      <w:r w:rsidR="007E408D" w:rsidRPr="00CA77B3">
        <w:t xml:space="preserve"> </w:t>
      </w:r>
      <w:r w:rsidRPr="00CA77B3">
        <w:t>conti pubblici secondo le direttive dell’Unione Europea e l’adozione di sistemi informativi</w:t>
      </w:r>
      <w:r w:rsidR="007E408D" w:rsidRPr="00CA77B3">
        <w:t xml:space="preserve"> </w:t>
      </w:r>
      <w:r w:rsidRPr="00CA77B3">
        <w:t>omogenei</w:t>
      </w:r>
      <w:r w:rsidR="007E408D" w:rsidRPr="00CA77B3">
        <w:t>.</w:t>
      </w:r>
    </w:p>
    <w:p w14:paraId="1AE9CCED" w14:textId="77777777" w:rsidR="007B6315" w:rsidRPr="00CA77B3" w:rsidRDefault="00695CC9" w:rsidP="000E1F9B">
      <w:pPr>
        <w:jc w:val="both"/>
      </w:pPr>
      <w:r w:rsidRPr="00CA77B3">
        <w:t>Il contesto normativo, per il 20</w:t>
      </w:r>
      <w:r w:rsidR="00F93C68" w:rsidRPr="00CA77B3">
        <w:t>2</w:t>
      </w:r>
      <w:r w:rsidR="00CA3E25" w:rsidRPr="00CA77B3">
        <w:t>6</w:t>
      </w:r>
      <w:r w:rsidRPr="00CA77B3">
        <w:t xml:space="preserve">, </w:t>
      </w:r>
      <w:r w:rsidR="00CA3E25" w:rsidRPr="00CA77B3">
        <w:t xml:space="preserve">non </w:t>
      </w:r>
      <w:r w:rsidR="00B411A7" w:rsidRPr="00CA77B3">
        <w:t xml:space="preserve">presenta </w:t>
      </w:r>
      <w:r w:rsidR="00CA3E25" w:rsidRPr="00CA77B3">
        <w:t>particolari</w:t>
      </w:r>
      <w:r w:rsidR="00C26192" w:rsidRPr="00CA77B3">
        <w:t xml:space="preserve"> </w:t>
      </w:r>
      <w:r w:rsidRPr="00CA77B3">
        <w:t>novità rispetto agli anni precedenti</w:t>
      </w:r>
      <w:r w:rsidR="00B411A7" w:rsidRPr="00CA77B3">
        <w:t>;</w:t>
      </w:r>
      <w:r w:rsidR="00CA3E25" w:rsidRPr="00CA77B3">
        <w:t xml:space="preserve"> soprattutto non sono previsti nuovi tagli alle già esigue risorse che lo Stato mette a disposizione dei comuni.</w:t>
      </w:r>
      <w:r w:rsidRPr="00CA77B3">
        <w:t xml:space="preserve"> </w:t>
      </w:r>
      <w:r w:rsidR="00CA3E25" w:rsidRPr="00CA77B3">
        <w:t>L</w:t>
      </w:r>
      <w:r w:rsidRPr="00CA77B3">
        <w:t xml:space="preserve">’Amministrazione ha </w:t>
      </w:r>
      <w:r w:rsidR="00CA3E25" w:rsidRPr="00CA77B3">
        <w:t>quind</w:t>
      </w:r>
      <w:r w:rsidRPr="00CA77B3">
        <w:t>i</w:t>
      </w:r>
      <w:r w:rsidR="00CA3E25" w:rsidRPr="00CA77B3">
        <w:t xml:space="preserve"> deciso</w:t>
      </w:r>
      <w:r w:rsidRPr="00CA77B3">
        <w:t xml:space="preserve"> di approvare</w:t>
      </w:r>
      <w:r w:rsidR="00CA3E25" w:rsidRPr="00CA77B3">
        <w:t>, come sempre,</w:t>
      </w:r>
      <w:r w:rsidRPr="00CA77B3">
        <w:t xml:space="preserve"> il bilancio in Consiglio Comunale entro il 31 dicembre, senza avvalersi delle consuete proroghe, in modo da poter avviare fin da subito la normale gestione. </w:t>
      </w:r>
      <w:r w:rsidR="007E408D" w:rsidRPr="00CA77B3">
        <w:t xml:space="preserve">E’ </w:t>
      </w:r>
      <w:r w:rsidRPr="00CA77B3">
        <w:t xml:space="preserve">infatti </w:t>
      </w:r>
      <w:r w:rsidR="007E408D" w:rsidRPr="00CA77B3">
        <w:t>confortante il fatto che</w:t>
      </w:r>
      <w:r w:rsidRPr="00CA77B3">
        <w:t>,</w:t>
      </w:r>
      <w:r w:rsidR="007E408D" w:rsidRPr="00CA77B3">
        <w:t xml:space="preserve"> negli anni scorsi, </w:t>
      </w:r>
      <w:r w:rsidRPr="00CA77B3">
        <w:t>nonostante l’incertezza normativa fosse maggiore, il nostro c</w:t>
      </w:r>
      <w:r w:rsidR="007E408D" w:rsidRPr="00CA77B3">
        <w:t>omune si è sempre mosso in anticipo senza che ciò provocasse il minimo disagio nel prosieguo dell’anno.</w:t>
      </w:r>
    </w:p>
    <w:p w14:paraId="1667529A" w14:textId="77777777" w:rsidR="007B6315" w:rsidRPr="00CA77B3" w:rsidRDefault="007E408D" w:rsidP="000E1F9B">
      <w:pPr>
        <w:jc w:val="both"/>
      </w:pPr>
      <w:r w:rsidRPr="00CA77B3">
        <w:t>I principali provvedimenti legislativi</w:t>
      </w:r>
      <w:r w:rsidR="00B411A7" w:rsidRPr="00CA77B3">
        <w:t>, approvati o in corso di approvazione con la Legge di Bilancio,</w:t>
      </w:r>
      <w:r w:rsidRPr="00CA77B3">
        <w:t xml:space="preserve"> che hanno inciso sulla formazione del bilancio di previsione 20</w:t>
      </w:r>
      <w:r w:rsidR="00F93C68" w:rsidRPr="00CA77B3">
        <w:t>2</w:t>
      </w:r>
      <w:r w:rsidR="00CA3E25" w:rsidRPr="00CA77B3">
        <w:t>6</w:t>
      </w:r>
      <w:r w:rsidRPr="00CA77B3">
        <w:t xml:space="preserve"> sono stati:</w:t>
      </w:r>
      <w:r w:rsidR="007B6315" w:rsidRPr="00CA77B3">
        <w:t xml:space="preserve"> </w:t>
      </w:r>
    </w:p>
    <w:p w14:paraId="14D8A1C2" w14:textId="77777777" w:rsidR="007E408D" w:rsidRPr="00CA77B3" w:rsidRDefault="007E408D" w:rsidP="000E1F9B">
      <w:pPr>
        <w:jc w:val="both"/>
      </w:pPr>
    </w:p>
    <w:p w14:paraId="55C251B6" w14:textId="351F386A" w:rsidR="00F93C68" w:rsidRPr="00CA77B3" w:rsidRDefault="00B073D5" w:rsidP="00523702">
      <w:pPr>
        <w:pStyle w:val="Paragrafoelenco"/>
        <w:numPr>
          <w:ilvl w:val="0"/>
          <w:numId w:val="8"/>
        </w:numPr>
        <w:jc w:val="both"/>
      </w:pPr>
      <w:r w:rsidRPr="00CA77B3">
        <w:t>obbligo di predisposizione del Pi</w:t>
      </w:r>
      <w:r w:rsidR="00924811" w:rsidRPr="00CA77B3">
        <w:t>a</w:t>
      </w:r>
      <w:r w:rsidRPr="00CA77B3">
        <w:t xml:space="preserve">no </w:t>
      </w:r>
      <w:r w:rsidR="00924811" w:rsidRPr="00CA77B3">
        <w:t>F</w:t>
      </w:r>
      <w:r w:rsidRPr="00CA77B3">
        <w:t>inanziario della TARI secondo il nuovo metodo tariffario approvato da ARERA; avendo già approvato il Piano Finanziario 202</w:t>
      </w:r>
      <w:r w:rsidR="00C26192" w:rsidRPr="00CA77B3">
        <w:t>3</w:t>
      </w:r>
      <w:r w:rsidR="00F90886" w:rsidRPr="00CA77B3">
        <w:t xml:space="preserve"> e 202</w:t>
      </w:r>
      <w:r w:rsidR="00C26192" w:rsidRPr="00CA77B3">
        <w:t>4</w:t>
      </w:r>
      <w:r w:rsidRPr="00CA77B3">
        <w:t xml:space="preserve"> con tali nuove modalità, non </w:t>
      </w:r>
      <w:r w:rsidR="00924811" w:rsidRPr="00CA77B3">
        <w:t>dovrebbero esserci</w:t>
      </w:r>
      <w:r w:rsidRPr="00CA77B3">
        <w:t xml:space="preserve"> significative differenze rispetto ai dati precedenti</w:t>
      </w:r>
      <w:r w:rsidR="00427AA1" w:rsidRPr="00CA77B3">
        <w:t>, se non quelle derivanti dalla dinamica dei costi del servizio</w:t>
      </w:r>
      <w:r w:rsidR="00C5530C" w:rsidRPr="00CA77B3">
        <w:t>, per tenere conti dell’andamento dell’inflazione negli ultimi due anni</w:t>
      </w:r>
      <w:r w:rsidR="00226B6F" w:rsidRPr="00CA77B3">
        <w:t>; sono stati contabilizzati gli elementi perequativi UR1- R2-UR3.</w:t>
      </w:r>
    </w:p>
    <w:p w14:paraId="70A16033" w14:textId="6A921CA5" w:rsidR="00226B6F" w:rsidRPr="00CA77B3" w:rsidRDefault="00226B6F" w:rsidP="00834C96">
      <w:pPr>
        <w:pStyle w:val="Paragrafoelenco"/>
        <w:numPr>
          <w:ilvl w:val="0"/>
          <w:numId w:val="8"/>
        </w:numPr>
        <w:jc w:val="both"/>
      </w:pPr>
      <w:r w:rsidRPr="00CA77B3">
        <w:t>si prevede di confermare per l’anno 2026 le aliquote IMU 2025;</w:t>
      </w:r>
    </w:p>
    <w:p w14:paraId="1AC5A2D6" w14:textId="6B037328" w:rsidR="00372BAA" w:rsidRPr="00CA77B3" w:rsidRDefault="000D5DCC" w:rsidP="000E1F9B">
      <w:pPr>
        <w:numPr>
          <w:ilvl w:val="0"/>
          <w:numId w:val="8"/>
        </w:numPr>
        <w:jc w:val="both"/>
      </w:pPr>
      <w:r w:rsidRPr="00CA77B3">
        <w:t>Il Fondo di solidarietà comunale e il fondo speciale equità livello servizi per il sociale sono stati stanziati sulla base delle stime riportate sul portale Finanza Locale</w:t>
      </w:r>
      <w:r w:rsidR="00D63DDF" w:rsidRPr="00CA77B3">
        <w:t xml:space="preserve">. </w:t>
      </w:r>
    </w:p>
    <w:p w14:paraId="2B04BEEA" w14:textId="77777777" w:rsidR="007E408D" w:rsidRPr="00CA77B3" w:rsidRDefault="00C5530C" w:rsidP="000E1F9B">
      <w:pPr>
        <w:numPr>
          <w:ilvl w:val="0"/>
          <w:numId w:val="8"/>
        </w:numPr>
        <w:jc w:val="both"/>
      </w:pPr>
      <w:r w:rsidRPr="00CA77B3">
        <w:t>c</w:t>
      </w:r>
      <w:r w:rsidR="00E37BED" w:rsidRPr="00CA77B3">
        <w:t>essazione degli effetti delle misure e delle rendicontazioni relative ai fondi messi a disposizione dallo Stato per fronteggiare gli effetti dell’epidemia da Covid-19</w:t>
      </w:r>
      <w:r w:rsidR="00C26192" w:rsidRPr="00CA77B3">
        <w:t xml:space="preserve"> e dell’incremento dei costi dell’energia</w:t>
      </w:r>
      <w:r w:rsidR="00E37BED" w:rsidRPr="00CA77B3">
        <w:t>.</w:t>
      </w:r>
      <w:r w:rsidR="007745BA" w:rsidRPr="00CA77B3">
        <w:t xml:space="preserve"> </w:t>
      </w:r>
      <w:r w:rsidR="00C26192" w:rsidRPr="00CA77B3">
        <w:t>Il nostro comune non risulta essere né a credito né a debito e quindi l’impatto sul bilancio è nullo.</w:t>
      </w:r>
    </w:p>
    <w:p w14:paraId="701CE24F" w14:textId="77777777" w:rsidR="00C26192" w:rsidRPr="00CA77B3" w:rsidRDefault="00C26192" w:rsidP="000E1F9B">
      <w:pPr>
        <w:numPr>
          <w:ilvl w:val="0"/>
          <w:numId w:val="8"/>
        </w:numPr>
        <w:jc w:val="both"/>
      </w:pPr>
      <w:r w:rsidRPr="00CA77B3">
        <w:t>applicazione della “</w:t>
      </w:r>
      <w:r w:rsidRPr="00CA77B3">
        <w:rPr>
          <w:i/>
        </w:rPr>
        <w:t>spending review</w:t>
      </w:r>
      <w:r w:rsidRPr="00CA77B3">
        <w:t>” derivante dalle leggi di bilancio degli anni precedenti</w:t>
      </w:r>
      <w:r w:rsidR="00CA3E25" w:rsidRPr="00CA77B3">
        <w:t>;</w:t>
      </w:r>
      <w:r w:rsidRPr="00CA77B3">
        <w:t xml:space="preserve"> </w:t>
      </w:r>
      <w:r w:rsidR="00CA3E25" w:rsidRPr="00CA77B3">
        <w:t xml:space="preserve">poiché dal 2026 cesserà di avere effetto quella c.d. “informatica” rimarrà quella c.d. “ordinaria” con una </w:t>
      </w:r>
      <w:r w:rsidRPr="00CA77B3">
        <w:t>quot</w:t>
      </w:r>
      <w:r w:rsidR="00CA3E25" w:rsidRPr="00CA77B3">
        <w:t>a</w:t>
      </w:r>
      <w:r w:rsidRPr="00CA77B3">
        <w:t xml:space="preserve"> quantificat</w:t>
      </w:r>
      <w:r w:rsidR="00CA3E25" w:rsidRPr="00CA77B3">
        <w:t>a</w:t>
      </w:r>
      <w:r w:rsidRPr="00CA77B3">
        <w:t xml:space="preserve"> per ogni comune nel corso del 2024</w:t>
      </w:r>
      <w:r w:rsidR="00CA3E25" w:rsidRPr="00CA77B3">
        <w:t xml:space="preserve"> e che però nel 2026 diverrà maggiore, andando quindi a penalizzare tutti gli enti</w:t>
      </w:r>
      <w:r w:rsidRPr="00CA77B3">
        <w:t>; tal</w:t>
      </w:r>
      <w:r w:rsidR="00CA3E25" w:rsidRPr="00CA77B3">
        <w:t>e</w:t>
      </w:r>
      <w:r w:rsidRPr="00CA77B3">
        <w:t xml:space="preserve"> tagli</w:t>
      </w:r>
      <w:r w:rsidR="00CA3E25" w:rsidRPr="00CA77B3">
        <w:t>o</w:t>
      </w:r>
      <w:r w:rsidRPr="00CA77B3">
        <w:t xml:space="preserve"> figura però in bilancio come spese, con un meccanismo contabile di compensazione con il Fondo di Solidarietà.</w:t>
      </w:r>
      <w:r w:rsidR="00CA3E25" w:rsidRPr="00CA77B3">
        <w:t xml:space="preserve"> </w:t>
      </w:r>
    </w:p>
    <w:p w14:paraId="58E21590" w14:textId="7FB3A5FB" w:rsidR="00226B6F" w:rsidRPr="00CA77B3" w:rsidRDefault="00C26192" w:rsidP="00FF5288">
      <w:pPr>
        <w:numPr>
          <w:ilvl w:val="0"/>
          <w:numId w:val="8"/>
        </w:numPr>
        <w:jc w:val="both"/>
      </w:pPr>
      <w:r w:rsidRPr="00CA77B3">
        <w:t>accantonamento obbligatorio di parte corrente previsto dalla legge di Bilancio 202</w:t>
      </w:r>
      <w:r w:rsidR="00CA3E25" w:rsidRPr="00CA77B3">
        <w:t>5</w:t>
      </w:r>
      <w:r w:rsidRPr="00CA77B3">
        <w:t xml:space="preserve">; </w:t>
      </w:r>
      <w:r w:rsidR="002B4CE1" w:rsidRPr="00CA77B3">
        <w:t xml:space="preserve">in questo caso non si tratta di un taglio ai trasferimenti dello stato ai Comuni ma della creazione obbligatoria </w:t>
      </w:r>
      <w:r w:rsidR="002B4CE1" w:rsidRPr="00CA77B3">
        <w:lastRenderedPageBreak/>
        <w:t>di un fondo che confluirà in avanzo e potrà quindi essere utilizzato l’anno successivo (202</w:t>
      </w:r>
      <w:r w:rsidR="00CA3E25" w:rsidRPr="00CA77B3">
        <w:t>7</w:t>
      </w:r>
      <w:r w:rsidR="002B4CE1" w:rsidRPr="00CA77B3">
        <w:t>) per finanziare spese di investimento.</w:t>
      </w:r>
    </w:p>
    <w:p w14:paraId="17E89D78" w14:textId="77777777" w:rsidR="00650379" w:rsidRPr="00CA77B3" w:rsidRDefault="00650379" w:rsidP="00650379">
      <w:pPr>
        <w:jc w:val="both"/>
      </w:pPr>
    </w:p>
    <w:p w14:paraId="51EDB080" w14:textId="77777777" w:rsidR="00650379" w:rsidRPr="00CA77B3" w:rsidRDefault="00650379" w:rsidP="00650379">
      <w:pPr>
        <w:jc w:val="both"/>
      </w:pPr>
      <w:r w:rsidRPr="00CA77B3">
        <w:t>Le principali novità derivanti da fattori interni rispetto all’anno scorso sono invece:</w:t>
      </w:r>
    </w:p>
    <w:p w14:paraId="26990946" w14:textId="00B391D5" w:rsidR="00CA3E25" w:rsidRPr="00CA77B3" w:rsidRDefault="00650379" w:rsidP="000E1F9B">
      <w:pPr>
        <w:numPr>
          <w:ilvl w:val="0"/>
          <w:numId w:val="8"/>
        </w:numPr>
        <w:jc w:val="both"/>
      </w:pPr>
      <w:r w:rsidRPr="00CA77B3">
        <w:t xml:space="preserve">allocazione in bilancio delle </w:t>
      </w:r>
      <w:r w:rsidR="00CA3E25" w:rsidRPr="00CA77B3">
        <w:t xml:space="preserve">risorse che il Comune di </w:t>
      </w:r>
      <w:r w:rsidR="00EA7DC8" w:rsidRPr="00CA77B3">
        <w:t>Assago</w:t>
      </w:r>
      <w:r w:rsidR="00CA3E25" w:rsidRPr="00CA77B3">
        <w:t xml:space="preserve"> ha</w:t>
      </w:r>
      <w:r w:rsidRPr="00CA77B3">
        <w:t xml:space="preserve"> </w:t>
      </w:r>
      <w:r w:rsidR="00CA3E25" w:rsidRPr="00CA77B3">
        <w:t>richi</w:t>
      </w:r>
      <w:r w:rsidRPr="00CA77B3">
        <w:t>e</w:t>
      </w:r>
      <w:r w:rsidR="00CA3E25" w:rsidRPr="00CA77B3">
        <w:t xml:space="preserve">sto </w:t>
      </w:r>
      <w:r w:rsidRPr="00CA77B3">
        <w:t>t</w:t>
      </w:r>
      <w:r w:rsidR="00CA3E25" w:rsidRPr="00CA77B3">
        <w:t>ramite la partec</w:t>
      </w:r>
      <w:r w:rsidRPr="00CA77B3">
        <w:t>i</w:t>
      </w:r>
      <w:r w:rsidR="00CA3E25" w:rsidRPr="00CA77B3">
        <w:t xml:space="preserve">pazione a bandi statali, regionali e </w:t>
      </w:r>
      <w:r w:rsidRPr="00CA77B3">
        <w:t>della Città Metropolitana per il finanziamento di opere pubbliche.</w:t>
      </w:r>
    </w:p>
    <w:p w14:paraId="5805960C" w14:textId="77777777" w:rsidR="00650379" w:rsidRPr="00CA77B3" w:rsidRDefault="00650379" w:rsidP="000E1F9B">
      <w:pPr>
        <w:numPr>
          <w:ilvl w:val="0"/>
          <w:numId w:val="8"/>
        </w:numPr>
        <w:jc w:val="both"/>
      </w:pPr>
      <w:r w:rsidRPr="00CA77B3">
        <w:t>incremento degli oneri di urbanizzazione previsti per la ripresa dell’attività edilizia sul territorio</w:t>
      </w:r>
    </w:p>
    <w:p w14:paraId="2F493D04" w14:textId="76C092DB" w:rsidR="00B70A45" w:rsidRPr="00CA77B3" w:rsidRDefault="00B70A45" w:rsidP="000E1F9B">
      <w:pPr>
        <w:numPr>
          <w:ilvl w:val="0"/>
          <w:numId w:val="8"/>
        </w:numPr>
        <w:jc w:val="both"/>
      </w:pPr>
      <w:r w:rsidRPr="00CA77B3">
        <w:t>prevista automazione dei parcheggi utilizzati per gli eventi del Forum.</w:t>
      </w:r>
    </w:p>
    <w:p w14:paraId="6780301E" w14:textId="77777777" w:rsidR="00427AA1" w:rsidRPr="00CA77B3" w:rsidRDefault="00427AA1" w:rsidP="00B70A45">
      <w:pPr>
        <w:ind w:left="360"/>
        <w:jc w:val="both"/>
      </w:pPr>
    </w:p>
    <w:p w14:paraId="3BC2D267" w14:textId="77777777" w:rsidR="00E87582" w:rsidRPr="00CA77B3" w:rsidRDefault="00E87582" w:rsidP="000E1F9B">
      <w:pPr>
        <w:jc w:val="both"/>
      </w:pPr>
      <w:r w:rsidRPr="00CA77B3">
        <w:t xml:space="preserve">Per quanto riguarda il </w:t>
      </w:r>
      <w:r w:rsidR="00B411A7" w:rsidRPr="00CA77B3">
        <w:t xml:space="preserve">Patto di Stabilità, </w:t>
      </w:r>
      <w:r w:rsidRPr="00CA77B3">
        <w:t>si rimanda al capitolo 6</w:t>
      </w:r>
    </w:p>
    <w:p w14:paraId="3C0E9BA6" w14:textId="6D37625C" w:rsidR="00E37BED" w:rsidRPr="00CA77B3" w:rsidRDefault="00E87582" w:rsidP="000E1F9B">
      <w:pPr>
        <w:jc w:val="both"/>
      </w:pPr>
      <w:r w:rsidRPr="00CA77B3">
        <w:t>L</w:t>
      </w:r>
      <w:r w:rsidR="00E37BED" w:rsidRPr="00CA77B3">
        <w:t xml:space="preserve">a </w:t>
      </w:r>
      <w:r w:rsidR="002B4CE1" w:rsidRPr="00CA77B3">
        <w:t>caratteristica</w:t>
      </w:r>
      <w:r w:rsidR="00E37BED" w:rsidRPr="00CA77B3">
        <w:t xml:space="preserve"> più significativa e positiva del bilancio 202</w:t>
      </w:r>
      <w:r w:rsidR="00650379" w:rsidRPr="00CA77B3">
        <w:t>6</w:t>
      </w:r>
      <w:r w:rsidR="00E37BED" w:rsidRPr="00CA77B3">
        <w:t>-2</w:t>
      </w:r>
      <w:r w:rsidR="00650379" w:rsidRPr="00CA77B3">
        <w:t>8</w:t>
      </w:r>
      <w:r w:rsidR="002B4CE1" w:rsidRPr="00CA77B3">
        <w:t>, come per quell</w:t>
      </w:r>
      <w:r w:rsidR="00650379" w:rsidRPr="00CA77B3">
        <w:t>o precedente</w:t>
      </w:r>
      <w:r w:rsidR="002B4CE1" w:rsidRPr="00CA77B3">
        <w:t>,</w:t>
      </w:r>
      <w:r w:rsidR="00E37BED" w:rsidRPr="00CA77B3">
        <w:t xml:space="preserve"> è il ritrovato equilibrio di parte corrente, senza necessità</w:t>
      </w:r>
      <w:r w:rsidR="007E408D" w:rsidRPr="00CA77B3">
        <w:t xml:space="preserve"> di utilizzare gli oneri di urbanizzazione per </w:t>
      </w:r>
      <w:r w:rsidR="00E37BED" w:rsidRPr="00CA77B3">
        <w:t>f</w:t>
      </w:r>
      <w:r w:rsidR="007E408D" w:rsidRPr="00CA77B3">
        <w:t>inanziare la spesa corrente</w:t>
      </w:r>
      <w:r w:rsidR="00924811" w:rsidRPr="00CA77B3">
        <w:t>; si tratta di una misura che il legislatore consente senza più limiti</w:t>
      </w:r>
      <w:r w:rsidR="007E408D" w:rsidRPr="00CA77B3">
        <w:t xml:space="preserve">, </w:t>
      </w:r>
      <w:r w:rsidR="00924811" w:rsidRPr="00CA77B3">
        <w:t xml:space="preserve">ma di cui normalmente </w:t>
      </w:r>
      <w:r w:rsidR="00E37BED" w:rsidRPr="00CA77B3">
        <w:t xml:space="preserve">il Comune di </w:t>
      </w:r>
      <w:r w:rsidR="00EA7DC8" w:rsidRPr="00CA77B3">
        <w:t>Assago</w:t>
      </w:r>
      <w:r w:rsidR="00E37BED" w:rsidRPr="00CA77B3">
        <w:t xml:space="preserve"> </w:t>
      </w:r>
      <w:r w:rsidR="00924811" w:rsidRPr="00CA77B3">
        <w:t xml:space="preserve">non </w:t>
      </w:r>
      <w:r w:rsidR="00E37BED" w:rsidRPr="00CA77B3">
        <w:t>ha</w:t>
      </w:r>
      <w:r w:rsidR="00924811" w:rsidRPr="00CA77B3">
        <w:t xml:space="preserve"> usufruito. </w:t>
      </w:r>
      <w:r w:rsidR="00E37BED" w:rsidRPr="00CA77B3">
        <w:t>N</w:t>
      </w:r>
      <w:r w:rsidRPr="00CA77B3">
        <w:t>el</w:t>
      </w:r>
      <w:r w:rsidR="00F90886" w:rsidRPr="00CA77B3">
        <w:t xml:space="preserve"> 2022</w:t>
      </w:r>
      <w:r w:rsidR="00924811" w:rsidRPr="00CA77B3">
        <w:t xml:space="preserve">, però, </w:t>
      </w:r>
      <w:r w:rsidR="00F90886" w:rsidRPr="00CA77B3">
        <w:t xml:space="preserve">a causa </w:t>
      </w:r>
      <w:r w:rsidRPr="00CA77B3">
        <w:t xml:space="preserve">del </w:t>
      </w:r>
      <w:r w:rsidR="00924811" w:rsidRPr="00CA77B3">
        <w:t xml:space="preserve">protrarsi sino all’estate delle misure anti-covid e dei conseguenti riflessi sul bilancio comunale, </w:t>
      </w:r>
      <w:r w:rsidRPr="00CA77B3">
        <w:t xml:space="preserve">il bilancio era stato approvato con </w:t>
      </w:r>
      <w:r w:rsidR="000F3007" w:rsidRPr="00CA77B3">
        <w:t>361.000</w:t>
      </w:r>
      <w:r w:rsidRPr="00CA77B3">
        <w:t xml:space="preserve"> euro di utilizzo di oneri</w:t>
      </w:r>
      <w:r w:rsidR="007E408D" w:rsidRPr="00CA77B3">
        <w:t>.</w:t>
      </w:r>
      <w:r w:rsidR="00E37BED" w:rsidRPr="00CA77B3">
        <w:t xml:space="preserve"> </w:t>
      </w:r>
    </w:p>
    <w:p w14:paraId="17760E2B" w14:textId="0034790D" w:rsidR="00E37BED" w:rsidRPr="00CA77B3" w:rsidRDefault="00650379" w:rsidP="000E1F9B">
      <w:pPr>
        <w:jc w:val="both"/>
      </w:pPr>
      <w:r w:rsidRPr="00CA77B3">
        <w:t>Già n</w:t>
      </w:r>
      <w:r w:rsidR="00E37BED" w:rsidRPr="00CA77B3">
        <w:t xml:space="preserve">el bilancio </w:t>
      </w:r>
      <w:r w:rsidR="000F3007" w:rsidRPr="00CA77B3">
        <w:t>2023</w:t>
      </w:r>
      <w:r w:rsidR="00E37BED" w:rsidRPr="00CA77B3">
        <w:t>-</w:t>
      </w:r>
      <w:r w:rsidR="000F3007" w:rsidRPr="00CA77B3">
        <w:t>25</w:t>
      </w:r>
      <w:r w:rsidR="00E37BED" w:rsidRPr="00CA77B3">
        <w:t xml:space="preserve">, in anticipo sui tempi ipotizzati, il Comune </w:t>
      </w:r>
      <w:r w:rsidR="002B4CE1" w:rsidRPr="00CA77B3">
        <w:t xml:space="preserve">ha </w:t>
      </w:r>
      <w:r w:rsidRPr="00CA77B3">
        <w:t xml:space="preserve">poi </w:t>
      </w:r>
      <w:r w:rsidR="002B4CE1" w:rsidRPr="00CA77B3">
        <w:t>previsto</w:t>
      </w:r>
      <w:r w:rsidR="00E37BED" w:rsidRPr="00CA77B3">
        <w:t xml:space="preserve"> di riuscire a finanziare interamente la spesa corrente con entrate correnti, senza alcun ricorso all’utilizzo di entrate in conto capitale</w:t>
      </w:r>
      <w:r w:rsidRPr="00CA77B3">
        <w:t xml:space="preserve">, obiettivo poi centrato e riproposto </w:t>
      </w:r>
      <w:r w:rsidR="00482F62" w:rsidRPr="00CA77B3">
        <w:t>negli anni successivi</w:t>
      </w:r>
      <w:r w:rsidRPr="00CA77B3">
        <w:t xml:space="preserve"> e ora</w:t>
      </w:r>
      <w:r w:rsidR="00482F62" w:rsidRPr="00CA77B3">
        <w:t xml:space="preserve"> anche</w:t>
      </w:r>
      <w:r w:rsidRPr="00CA77B3">
        <w:t xml:space="preserve"> nel 2026</w:t>
      </w:r>
      <w:r w:rsidR="00E37BED" w:rsidRPr="00CA77B3">
        <w:t>.</w:t>
      </w:r>
    </w:p>
    <w:p w14:paraId="4E4AC299" w14:textId="77777777" w:rsidR="007B6315" w:rsidRPr="00CA77B3" w:rsidRDefault="002B4CE1" w:rsidP="000E1F9B">
      <w:pPr>
        <w:jc w:val="both"/>
      </w:pPr>
      <w:r w:rsidRPr="00CA77B3">
        <w:t>I dati di pre-consuntivo del 202</w:t>
      </w:r>
      <w:r w:rsidR="00650379" w:rsidRPr="00CA77B3">
        <w:t>5</w:t>
      </w:r>
      <w:r w:rsidRPr="00CA77B3">
        <w:t xml:space="preserve"> sono in linea con queste previsioni e consentono quindi di confermare questa impostazione anche per il nuovo triennio.</w:t>
      </w:r>
      <w:r w:rsidR="00E87582" w:rsidRPr="00CA77B3">
        <w:t xml:space="preserve"> </w:t>
      </w:r>
      <w:r w:rsidR="00130DE4" w:rsidRPr="00CA77B3">
        <w:t xml:space="preserve"> </w:t>
      </w:r>
      <w:r w:rsidR="00E962B0" w:rsidRPr="00CA77B3">
        <w:t xml:space="preserve"> </w:t>
      </w:r>
    </w:p>
    <w:p w14:paraId="25184EE9" w14:textId="6A2FFCDF" w:rsidR="00C76B47" w:rsidRPr="00CA77B3" w:rsidRDefault="00D63DDF" w:rsidP="000E1F9B">
      <w:pPr>
        <w:jc w:val="both"/>
      </w:pPr>
      <w:r w:rsidRPr="00CA77B3">
        <w:t>G</w:t>
      </w:r>
      <w:r w:rsidR="0003630A" w:rsidRPr="00CA77B3">
        <w:t xml:space="preserve">li stanziamenti relativi alle principali imposte e tasse comunali sono </w:t>
      </w:r>
      <w:r w:rsidR="002B4CE1" w:rsidRPr="00CA77B3">
        <w:t>stati</w:t>
      </w:r>
      <w:r w:rsidR="0003630A" w:rsidRPr="00CA77B3">
        <w:t xml:space="preserve"> calibrati sulla base delle risultanze </w:t>
      </w:r>
      <w:r w:rsidR="00DE3969" w:rsidRPr="00CA77B3">
        <w:t xml:space="preserve">aggiornate </w:t>
      </w:r>
      <w:r w:rsidR="0003630A" w:rsidRPr="00CA77B3">
        <w:t>del 20</w:t>
      </w:r>
      <w:r w:rsidR="007745BA" w:rsidRPr="00CA77B3">
        <w:t>2</w:t>
      </w:r>
      <w:r w:rsidR="002B4CE1" w:rsidRPr="00CA77B3">
        <w:t>4</w:t>
      </w:r>
      <w:r w:rsidR="00DE3969" w:rsidRPr="00CA77B3">
        <w:t>, già presenti nell</w:t>
      </w:r>
      <w:r w:rsidR="00E37BED" w:rsidRPr="00CA77B3">
        <w:t>’u</w:t>
      </w:r>
      <w:r w:rsidR="00F346C9" w:rsidRPr="00CA77B3">
        <w:t>ltim</w:t>
      </w:r>
      <w:r w:rsidR="00E37BED" w:rsidRPr="00CA77B3">
        <w:t>a</w:t>
      </w:r>
      <w:r w:rsidR="00F346C9" w:rsidRPr="00CA77B3">
        <w:t xml:space="preserve"> </w:t>
      </w:r>
      <w:r w:rsidR="00DE3969" w:rsidRPr="00CA77B3">
        <w:t>variazion</w:t>
      </w:r>
      <w:r w:rsidR="00E37BED" w:rsidRPr="00CA77B3">
        <w:t>e</w:t>
      </w:r>
      <w:r w:rsidR="00DE3969" w:rsidRPr="00CA77B3">
        <w:t xml:space="preserve"> di bilancio</w:t>
      </w:r>
      <w:r w:rsidR="0003630A" w:rsidRPr="00CA77B3">
        <w:t xml:space="preserve">. </w:t>
      </w:r>
      <w:r w:rsidR="00394C99" w:rsidRPr="00CA77B3">
        <w:t>In particolare</w:t>
      </w:r>
      <w:r w:rsidR="0003630A" w:rsidRPr="00CA77B3">
        <w:t xml:space="preserve">, </w:t>
      </w:r>
      <w:r w:rsidR="00F346C9" w:rsidRPr="00CA77B3">
        <w:t>sono ancora previsti importanti gettiti dall’attività di recupero dell’evasione ed elusione fiscale</w:t>
      </w:r>
      <w:r w:rsidR="007745BA" w:rsidRPr="00CA77B3">
        <w:t>, e soprattutto non si sono registrate, al momento, le temute diminuzioni di gettito di IMU a causa della difficile situazione economica</w:t>
      </w:r>
      <w:r w:rsidR="00650379" w:rsidRPr="00CA77B3">
        <w:t>, ma anzi quest’ultima è in continua crescita</w:t>
      </w:r>
      <w:r w:rsidR="007745BA" w:rsidRPr="00CA77B3">
        <w:t xml:space="preserve">. </w:t>
      </w:r>
    </w:p>
    <w:p w14:paraId="53431AFD" w14:textId="7B1F7756" w:rsidR="007B6315" w:rsidRPr="00CA77B3" w:rsidRDefault="00D63DDF" w:rsidP="000E1F9B">
      <w:pPr>
        <w:jc w:val="both"/>
      </w:pPr>
      <w:r w:rsidRPr="00CA77B3">
        <w:t>Quanto alle spese di investimento, esse sono finanziate</w:t>
      </w:r>
      <w:r w:rsidR="00A1218E" w:rsidRPr="00CA77B3">
        <w:t xml:space="preserve"> quasi</w:t>
      </w:r>
      <w:r w:rsidRPr="00CA77B3">
        <w:t xml:space="preserve"> </w:t>
      </w:r>
      <w:r w:rsidR="00DE3969" w:rsidRPr="00CA77B3">
        <w:t xml:space="preserve">interamente </w:t>
      </w:r>
      <w:r w:rsidRPr="00CA77B3">
        <w:t>con entrate proprie</w:t>
      </w:r>
      <w:r w:rsidR="00D14F61" w:rsidRPr="00CA77B3">
        <w:t xml:space="preserve"> </w:t>
      </w:r>
      <w:r w:rsidR="000E47DF" w:rsidRPr="00CA77B3">
        <w:t xml:space="preserve">o da finanziamenti </w:t>
      </w:r>
      <w:r w:rsidR="00A1218E" w:rsidRPr="00CA77B3">
        <w:t>pubblici</w:t>
      </w:r>
      <w:r w:rsidR="0050674B" w:rsidRPr="00CA77B3">
        <w:t>.</w:t>
      </w:r>
    </w:p>
    <w:p w14:paraId="506F4735" w14:textId="77777777" w:rsidR="00161FCB" w:rsidRPr="00CA77B3" w:rsidRDefault="00161FCB" w:rsidP="000E1F9B">
      <w:pPr>
        <w:jc w:val="both"/>
      </w:pPr>
    </w:p>
    <w:p w14:paraId="580B9A4A" w14:textId="77777777" w:rsidR="00161FCB" w:rsidRPr="00CA77B3" w:rsidRDefault="007A7E3F" w:rsidP="00EA7DC8">
      <w:pPr>
        <w:pStyle w:val="Titolo1"/>
        <w:keepNext w:val="0"/>
        <w:keepLines w:val="0"/>
        <w:widowControl w:val="0"/>
        <w:pBdr>
          <w:top w:val="single" w:sz="6" w:space="1" w:color="000000" w:shadow="1"/>
          <w:left w:val="single" w:sz="6" w:space="4" w:color="000000" w:shadow="1"/>
          <w:bottom w:val="single" w:sz="6" w:space="1" w:color="000000" w:shadow="1"/>
          <w:right w:val="single" w:sz="6" w:space="4" w:color="000000" w:shadow="1"/>
        </w:pBdr>
        <w:shd w:val="clear" w:color="auto" w:fill="B6DDE8"/>
        <w:overflowPunct w:val="0"/>
        <w:autoSpaceDE w:val="0"/>
        <w:autoSpaceDN w:val="0"/>
        <w:adjustRightInd w:val="0"/>
        <w:spacing w:before="0" w:after="360" w:line="240" w:lineRule="auto"/>
        <w:jc w:val="center"/>
        <w:rPr>
          <w:rFonts w:ascii="Times New Roman" w:eastAsia="Times New Roman" w:hAnsi="Times New Roman" w:cs="Times New Roman"/>
          <w:bCs/>
          <w:kern w:val="32"/>
          <w:sz w:val="32"/>
          <w:szCs w:val="32"/>
          <w:lang w:val="x-none" w:eastAsia="x-none"/>
        </w:rPr>
      </w:pPr>
      <w:bookmarkStart w:id="5" w:name="_Toc215130329"/>
      <w:r w:rsidRPr="00CA77B3">
        <w:rPr>
          <w:rFonts w:ascii="Times New Roman" w:eastAsia="Times New Roman" w:hAnsi="Times New Roman" w:cs="Times New Roman"/>
          <w:bCs/>
          <w:kern w:val="32"/>
          <w:sz w:val="32"/>
          <w:szCs w:val="32"/>
          <w:lang w:val="x-none" w:eastAsia="x-none"/>
        </w:rPr>
        <w:t>5</w:t>
      </w:r>
      <w:r w:rsidR="000120AA" w:rsidRPr="00CA77B3">
        <w:rPr>
          <w:rFonts w:ascii="Times New Roman" w:eastAsia="Times New Roman" w:hAnsi="Times New Roman" w:cs="Times New Roman"/>
          <w:bCs/>
          <w:kern w:val="32"/>
          <w:sz w:val="32"/>
          <w:szCs w:val="32"/>
          <w:lang w:val="x-none" w:eastAsia="x-none"/>
        </w:rPr>
        <w:t xml:space="preserve">. </w:t>
      </w:r>
      <w:r w:rsidR="00161FCB" w:rsidRPr="00CA77B3">
        <w:rPr>
          <w:rFonts w:ascii="Times New Roman" w:eastAsia="Times New Roman" w:hAnsi="Times New Roman" w:cs="Times New Roman"/>
          <w:bCs/>
          <w:kern w:val="32"/>
          <w:sz w:val="32"/>
          <w:szCs w:val="32"/>
          <w:lang w:val="x-none" w:eastAsia="x-none"/>
        </w:rPr>
        <w:t>CRITERI DI VALUTAZIONE ADOTTATI</w:t>
      </w:r>
      <w:bookmarkEnd w:id="5"/>
    </w:p>
    <w:p w14:paraId="502AE126" w14:textId="78183729" w:rsidR="00161FCB" w:rsidRPr="00CA77B3" w:rsidRDefault="00B062DF" w:rsidP="00B062DF">
      <w:pPr>
        <w:jc w:val="both"/>
      </w:pPr>
      <w:r w:rsidRPr="00CA77B3">
        <w:t>I criteri di valutazione adottati nella formulazione delle previsioni triennali di entrata e spesa del bilancio di previsione 2025 - 2027 rispettano i principi di cui all’art. 80 del d.lgs. n. 118/2011 e del relativo allegato n. 1 “Principi generali o postulati”:</w:t>
      </w:r>
    </w:p>
    <w:p w14:paraId="3A893145" w14:textId="77777777" w:rsidR="00B062DF" w:rsidRPr="00CA77B3" w:rsidRDefault="00B062DF" w:rsidP="00B062DF">
      <w:pPr>
        <w:jc w:val="both"/>
      </w:pPr>
      <w:r w:rsidRPr="00CA77B3">
        <w:t>1. Principio dell’annualità;</w:t>
      </w:r>
    </w:p>
    <w:p w14:paraId="3C33EA0D" w14:textId="77777777" w:rsidR="00B062DF" w:rsidRPr="00CA77B3" w:rsidRDefault="00B062DF" w:rsidP="00B062DF">
      <w:pPr>
        <w:jc w:val="both"/>
      </w:pPr>
      <w:r w:rsidRPr="00CA77B3">
        <w:t>2. Principio dell’unità;</w:t>
      </w:r>
    </w:p>
    <w:p w14:paraId="2EA6C13A" w14:textId="77777777" w:rsidR="00B062DF" w:rsidRPr="00CA77B3" w:rsidRDefault="00B062DF" w:rsidP="00B062DF">
      <w:pPr>
        <w:jc w:val="both"/>
      </w:pPr>
      <w:r w:rsidRPr="00CA77B3">
        <w:t>3. Principio dell’universalità;</w:t>
      </w:r>
    </w:p>
    <w:p w14:paraId="4E4F9301" w14:textId="77777777" w:rsidR="00B062DF" w:rsidRPr="00CA77B3" w:rsidRDefault="00B062DF" w:rsidP="00B062DF">
      <w:pPr>
        <w:jc w:val="both"/>
      </w:pPr>
      <w:r w:rsidRPr="00CA77B3">
        <w:t>4. Principio dell’integrità;</w:t>
      </w:r>
    </w:p>
    <w:p w14:paraId="5DC76B66" w14:textId="77777777" w:rsidR="00B062DF" w:rsidRPr="00CA77B3" w:rsidRDefault="00B062DF" w:rsidP="00B062DF">
      <w:pPr>
        <w:jc w:val="both"/>
      </w:pPr>
      <w:r w:rsidRPr="00CA77B3">
        <w:t>5. Principio della veridicità, attendibilità, correttezza e comprensibilità;</w:t>
      </w:r>
    </w:p>
    <w:p w14:paraId="46700052" w14:textId="77777777" w:rsidR="00B062DF" w:rsidRPr="00CA77B3" w:rsidRDefault="00B062DF" w:rsidP="00B062DF">
      <w:pPr>
        <w:jc w:val="both"/>
      </w:pPr>
      <w:r w:rsidRPr="00CA77B3">
        <w:t>6. Principio della significatività e rilevanza;</w:t>
      </w:r>
    </w:p>
    <w:p w14:paraId="51C92294" w14:textId="77777777" w:rsidR="00B062DF" w:rsidRPr="00CA77B3" w:rsidRDefault="00B062DF" w:rsidP="00B062DF">
      <w:pPr>
        <w:jc w:val="both"/>
      </w:pPr>
      <w:r w:rsidRPr="00CA77B3">
        <w:t>7. Principio della flessibilità;</w:t>
      </w:r>
    </w:p>
    <w:p w14:paraId="2C406AF9" w14:textId="77777777" w:rsidR="00B062DF" w:rsidRPr="00CA77B3" w:rsidRDefault="00B062DF" w:rsidP="00B062DF">
      <w:pPr>
        <w:jc w:val="both"/>
      </w:pPr>
      <w:r w:rsidRPr="00CA77B3">
        <w:t>8. Principio della congruità;</w:t>
      </w:r>
    </w:p>
    <w:p w14:paraId="79BA37F0" w14:textId="3E5498D1" w:rsidR="00B062DF" w:rsidRPr="00CA77B3" w:rsidRDefault="00B062DF" w:rsidP="00B062DF">
      <w:pPr>
        <w:jc w:val="both"/>
      </w:pPr>
      <w:r w:rsidRPr="00CA77B3">
        <w:t>9. Principio della prudenza;</w:t>
      </w:r>
    </w:p>
    <w:p w14:paraId="5CBE943E" w14:textId="77777777" w:rsidR="00B062DF" w:rsidRPr="00CA77B3" w:rsidRDefault="00B062DF" w:rsidP="00B062DF">
      <w:pPr>
        <w:jc w:val="both"/>
      </w:pPr>
      <w:r w:rsidRPr="00CA77B3">
        <w:t>10. Principio della coerenza;</w:t>
      </w:r>
    </w:p>
    <w:p w14:paraId="164A06A3" w14:textId="77777777" w:rsidR="00B062DF" w:rsidRPr="00CA77B3" w:rsidRDefault="00B062DF" w:rsidP="00B062DF">
      <w:pPr>
        <w:jc w:val="both"/>
      </w:pPr>
      <w:r w:rsidRPr="00CA77B3">
        <w:t>11. Principio della continuità e della costanza;</w:t>
      </w:r>
    </w:p>
    <w:p w14:paraId="30ED5536" w14:textId="77777777" w:rsidR="00B062DF" w:rsidRPr="00CA77B3" w:rsidRDefault="00B062DF" w:rsidP="00B062DF">
      <w:pPr>
        <w:jc w:val="both"/>
      </w:pPr>
      <w:r w:rsidRPr="00CA77B3">
        <w:t>12. Principio della comparabilità e della verificabilità;</w:t>
      </w:r>
    </w:p>
    <w:p w14:paraId="1BEAC2B9" w14:textId="77777777" w:rsidR="00B062DF" w:rsidRPr="00CA77B3" w:rsidRDefault="00B062DF" w:rsidP="00B062DF">
      <w:pPr>
        <w:jc w:val="both"/>
      </w:pPr>
      <w:r w:rsidRPr="00CA77B3">
        <w:t>13. Principio della neutralità;</w:t>
      </w:r>
    </w:p>
    <w:p w14:paraId="183CFF56" w14:textId="77777777" w:rsidR="00B062DF" w:rsidRPr="00CA77B3" w:rsidRDefault="00B062DF" w:rsidP="00B062DF">
      <w:pPr>
        <w:jc w:val="both"/>
      </w:pPr>
      <w:r w:rsidRPr="00CA77B3">
        <w:t>14. Principio della pubblicità;</w:t>
      </w:r>
    </w:p>
    <w:p w14:paraId="771C4EB2" w14:textId="77777777" w:rsidR="00B062DF" w:rsidRPr="00CA77B3" w:rsidRDefault="00B062DF" w:rsidP="00B062DF">
      <w:pPr>
        <w:jc w:val="both"/>
      </w:pPr>
      <w:r w:rsidRPr="00CA77B3">
        <w:t>15. Principio dell'equilibrio di bilancio;</w:t>
      </w:r>
    </w:p>
    <w:p w14:paraId="1403F54F" w14:textId="77777777" w:rsidR="00B062DF" w:rsidRPr="00CA77B3" w:rsidRDefault="00B062DF" w:rsidP="00B062DF">
      <w:pPr>
        <w:jc w:val="both"/>
      </w:pPr>
      <w:r w:rsidRPr="00CA77B3">
        <w:t>16. Principio della competenza finanziaria;</w:t>
      </w:r>
    </w:p>
    <w:p w14:paraId="76E687E0" w14:textId="77777777" w:rsidR="00B062DF" w:rsidRPr="00CA77B3" w:rsidRDefault="00B062DF" w:rsidP="00B062DF">
      <w:pPr>
        <w:jc w:val="both"/>
      </w:pPr>
      <w:r w:rsidRPr="00CA77B3">
        <w:lastRenderedPageBreak/>
        <w:t>17. Principio della competenza economica;</w:t>
      </w:r>
    </w:p>
    <w:p w14:paraId="52B464F9" w14:textId="2910D92B" w:rsidR="00B062DF" w:rsidRPr="00CA77B3" w:rsidRDefault="00B062DF" w:rsidP="00B062DF">
      <w:pPr>
        <w:jc w:val="both"/>
      </w:pPr>
      <w:r w:rsidRPr="00CA77B3">
        <w:t>18. Principio della prevalenza della sostanza sulla forma.</w:t>
      </w:r>
    </w:p>
    <w:p w14:paraId="7A3E25DB" w14:textId="77777777" w:rsidR="00B062DF" w:rsidRPr="00CA77B3" w:rsidRDefault="00B062DF" w:rsidP="00B062DF">
      <w:pPr>
        <w:jc w:val="both"/>
      </w:pPr>
      <w:r w:rsidRPr="00CA77B3">
        <w:t>Le previsioni di entrata sono classificate in:</w:t>
      </w:r>
    </w:p>
    <w:p w14:paraId="3D3F2E9B" w14:textId="77777777" w:rsidR="00B062DF" w:rsidRPr="00CA77B3" w:rsidRDefault="00B062DF" w:rsidP="00B062DF">
      <w:pPr>
        <w:jc w:val="both"/>
      </w:pPr>
      <w:r w:rsidRPr="00CA77B3">
        <w:t>a) titoli, definiti secondo la fonte di provenienza dell’entrata;</w:t>
      </w:r>
    </w:p>
    <w:p w14:paraId="5F4F6A21" w14:textId="56CE5E82" w:rsidR="00B062DF" w:rsidRPr="00CA77B3" w:rsidRDefault="00B062DF" w:rsidP="00B062DF">
      <w:pPr>
        <w:jc w:val="both"/>
      </w:pPr>
      <w:r w:rsidRPr="00CA77B3">
        <w:t>b) tipologie, definite in base alla natura delle entrate, nell’ambito di ciascuna fonte di provenienza. La tipologia rappresenta l'unità elementare del bilancio parte entrata.</w:t>
      </w:r>
    </w:p>
    <w:p w14:paraId="04A76EA6" w14:textId="77777777" w:rsidR="00B062DF" w:rsidRPr="00CA77B3" w:rsidRDefault="00B062DF" w:rsidP="00B062DF">
      <w:pPr>
        <w:jc w:val="both"/>
      </w:pPr>
      <w:r w:rsidRPr="00CA77B3">
        <w:t>Le previsioni di spesa sono classificate in:</w:t>
      </w:r>
    </w:p>
    <w:p w14:paraId="634B5870" w14:textId="694FBC08" w:rsidR="00B062DF" w:rsidRPr="00CA77B3" w:rsidRDefault="00B062DF" w:rsidP="00B062DF">
      <w:pPr>
        <w:jc w:val="both"/>
      </w:pPr>
      <w:r w:rsidRPr="00CA77B3">
        <w:t>a) missioni, che rappresentano le funzioni principali e gli obiettivi strategici perseguiti dagli enti locali, utilizzando risorse finanziarie, umane e strumentali ad esse destinate;</w:t>
      </w:r>
    </w:p>
    <w:p w14:paraId="18EBA066" w14:textId="5C54A54A" w:rsidR="00B062DF" w:rsidRPr="00CA77B3" w:rsidRDefault="00B062DF" w:rsidP="00B062DF">
      <w:pPr>
        <w:jc w:val="both"/>
      </w:pPr>
      <w:r w:rsidRPr="00CA77B3">
        <w:t>b) programmi, che rappresentano gli aggregati omogenei di attività svolte a perseguire gli obiettivi definiti nell'ambito delle missioni. Il programma rappresenta pertanto l'unità elementare del bilancio parte spesa.</w:t>
      </w:r>
    </w:p>
    <w:p w14:paraId="22752B4B" w14:textId="77777777" w:rsidR="00B062DF" w:rsidRPr="00CA77B3" w:rsidRDefault="00B062DF" w:rsidP="00B062DF">
      <w:pPr>
        <w:jc w:val="both"/>
      </w:pPr>
      <w:r w:rsidRPr="00CA77B3">
        <w:t>La formulazione delle previsioni è stata effettuata:</w:t>
      </w:r>
    </w:p>
    <w:p w14:paraId="0F310D6D" w14:textId="606159C7" w:rsidR="00B062DF" w:rsidRPr="00CA77B3" w:rsidRDefault="00B062DF" w:rsidP="00B062DF">
      <w:pPr>
        <w:jc w:val="both"/>
      </w:pPr>
      <w:r w:rsidRPr="00CA77B3">
        <w:t>a) per ciò che concerne l'entrata, considerando gli stanziamenti assestati dell’esercizio in corso, l’evoluzione degli accertamenti dell’ultimo triennio e i presumibili livelli di accertamento degli esercizi futuri definiti con riferimento all'applicazione del principio di contabilità finanziaria, rettificate per eventuali aumenti/riduzioni che possono intervenire da indirizzi già assunti;</w:t>
      </w:r>
    </w:p>
    <w:p w14:paraId="6192D8FB" w14:textId="5558884B" w:rsidR="00B062DF" w:rsidRPr="00CA77B3" w:rsidRDefault="00B062DF" w:rsidP="00B062DF">
      <w:pPr>
        <w:jc w:val="both"/>
      </w:pPr>
      <w:r w:rsidRPr="00CA77B3">
        <w:t>b) per ciò che concerne la spesa, considerando gli stanziamenti assestati dell’esercizio in corso, l’evoluzione degli impegni dell’ultimo triennio eventualmente modificati per effetto di intervenute esigenze di fabbisogni finanziari ricorrenti, delle spese obbligatorie, di quelle consolidate, di quelle derivanti da obbligazioni già assunte in esercizi precedenti, nonché delle spese che presumibilmente inizieranno a divenire esigibili dai futuri esercizi.</w:t>
      </w:r>
    </w:p>
    <w:p w14:paraId="17AA88FF" w14:textId="77777777" w:rsidR="00B062DF" w:rsidRPr="00CA77B3" w:rsidRDefault="00B062DF" w:rsidP="00B062DF">
      <w:pPr>
        <w:jc w:val="both"/>
      </w:pPr>
    </w:p>
    <w:p w14:paraId="47B23F9D" w14:textId="134B7070" w:rsidR="00B062DF" w:rsidRPr="00CA77B3" w:rsidRDefault="00B062DF" w:rsidP="00B062DF">
      <w:pPr>
        <w:jc w:val="both"/>
      </w:pPr>
      <w:r w:rsidRPr="00CA77B3">
        <w:t>In particolare, per garantire la flessibilità del bilancio, nella missione “Fondi e Accantonamenti”, all’interno del programma “Fondo di riserva”, è stato previsto un fondo di riserva conforme ai limiti di cui all’art. 166 comma 2-ter del d.lgs. n. 267/2000 non inferiore allo 0,30 e non superiore al 2 per cento del totale delle spese correnti di competenza inizialmente previste in bilancio. Per l’anno 2025 lo stesso è stato suddiviso in:</w:t>
      </w:r>
    </w:p>
    <w:p w14:paraId="3F84AD31" w14:textId="77777777" w:rsidR="00B062DF" w:rsidRPr="00CA77B3" w:rsidRDefault="00B062DF" w:rsidP="00B062DF">
      <w:pPr>
        <w:jc w:val="both"/>
      </w:pPr>
    </w:p>
    <w:p w14:paraId="1C3F344B" w14:textId="0FDD93A0" w:rsidR="00B062DF" w:rsidRPr="00CA77B3" w:rsidRDefault="00B062DF" w:rsidP="00B062DF">
      <w:pPr>
        <w:pStyle w:val="Paragrafoelenco"/>
        <w:numPr>
          <w:ilvl w:val="0"/>
          <w:numId w:val="9"/>
        </w:numPr>
        <w:jc w:val="both"/>
      </w:pPr>
      <w:r w:rsidRPr="00CA77B3">
        <w:t>Fondo di riserva ordinario quota vincolata per euro 23.127,00</w:t>
      </w:r>
    </w:p>
    <w:p w14:paraId="2BCAB170" w14:textId="05085480" w:rsidR="00B062DF" w:rsidRPr="00CA77B3" w:rsidRDefault="00B062DF" w:rsidP="0002087F">
      <w:pPr>
        <w:pStyle w:val="Paragrafoelenco"/>
        <w:numPr>
          <w:ilvl w:val="0"/>
          <w:numId w:val="9"/>
        </w:numPr>
        <w:jc w:val="both"/>
      </w:pPr>
      <w:r w:rsidRPr="00CA77B3">
        <w:t>Fondo di riserva ordinario quota vincolata per euro 131.054,00</w:t>
      </w:r>
    </w:p>
    <w:p w14:paraId="0E9F6262" w14:textId="77777777" w:rsidR="00A4002D" w:rsidRPr="00CA77B3" w:rsidRDefault="00A4002D" w:rsidP="00A4002D">
      <w:pPr>
        <w:jc w:val="both"/>
      </w:pPr>
    </w:p>
    <w:p w14:paraId="5955CF20" w14:textId="58987153" w:rsidR="00A4002D" w:rsidRPr="00CA77B3" w:rsidRDefault="00A4002D" w:rsidP="00A4002D">
      <w:pPr>
        <w:jc w:val="both"/>
      </w:pPr>
      <w:r w:rsidRPr="00CA77B3">
        <w:t>Per un totale di € 154.181,56  per il 2026, € 151.678,95 per il 2027 ed € 153.178,95 per il 2028.</w:t>
      </w:r>
    </w:p>
    <w:p w14:paraId="75174C5F" w14:textId="77777777" w:rsidR="00B062DF" w:rsidRPr="00CA77B3" w:rsidRDefault="00B062DF" w:rsidP="00B062DF">
      <w:pPr>
        <w:jc w:val="both"/>
      </w:pPr>
    </w:p>
    <w:p w14:paraId="38CE633C" w14:textId="23872E7E" w:rsidR="00B062DF" w:rsidRDefault="00B062DF" w:rsidP="00B062DF">
      <w:pPr>
        <w:jc w:val="both"/>
      </w:pPr>
      <w:r w:rsidRPr="00CA77B3">
        <w:t>Le percentuali dello stesso rispetto alle spese correnti è la seguente:</w:t>
      </w:r>
    </w:p>
    <w:p w14:paraId="60564BED" w14:textId="77777777" w:rsidR="008E09B6" w:rsidRPr="00CA77B3" w:rsidRDefault="008E09B6" w:rsidP="00B062DF">
      <w:pPr>
        <w:jc w:val="both"/>
      </w:pPr>
    </w:p>
    <w:tbl>
      <w:tblPr>
        <w:tblW w:w="8300" w:type="dxa"/>
        <w:jc w:val="center"/>
        <w:tblCellMar>
          <w:left w:w="70" w:type="dxa"/>
          <w:right w:w="70" w:type="dxa"/>
        </w:tblCellMar>
        <w:tblLook w:val="04A0" w:firstRow="1" w:lastRow="0" w:firstColumn="1" w:lastColumn="0" w:noHBand="0" w:noVBand="1"/>
      </w:tblPr>
      <w:tblGrid>
        <w:gridCol w:w="1354"/>
        <w:gridCol w:w="1780"/>
        <w:gridCol w:w="1420"/>
        <w:gridCol w:w="1420"/>
        <w:gridCol w:w="2114"/>
        <w:gridCol w:w="1200"/>
      </w:tblGrid>
      <w:tr w:rsidR="00A4002D" w:rsidRPr="00CA77B3" w14:paraId="2B1D97F4" w14:textId="77777777" w:rsidTr="00A4002D">
        <w:trPr>
          <w:trHeight w:val="915"/>
          <w:jc w:val="center"/>
        </w:trPr>
        <w:tc>
          <w:tcPr>
            <w:tcW w:w="980" w:type="dxa"/>
            <w:tcBorders>
              <w:top w:val="single" w:sz="8" w:space="0" w:color="auto"/>
              <w:left w:val="single" w:sz="8" w:space="0" w:color="auto"/>
              <w:bottom w:val="single" w:sz="8" w:space="0" w:color="auto"/>
              <w:right w:val="nil"/>
            </w:tcBorders>
            <w:shd w:val="clear" w:color="000000" w:fill="FFFFFF"/>
            <w:noWrap/>
            <w:vAlign w:val="center"/>
            <w:hideMark/>
          </w:tcPr>
          <w:p w14:paraId="7302251C" w14:textId="77777777" w:rsidR="00A4002D" w:rsidRPr="00CA77B3" w:rsidRDefault="00A4002D">
            <w:pPr>
              <w:jc w:val="center"/>
              <w:rPr>
                <w:b/>
                <w:bCs/>
                <w:color w:val="000000"/>
              </w:rPr>
            </w:pPr>
            <w:r w:rsidRPr="00CA77B3">
              <w:rPr>
                <w:b/>
                <w:bCs/>
                <w:color w:val="000000"/>
              </w:rPr>
              <w:t>BILANCIO</w:t>
            </w:r>
          </w:p>
        </w:tc>
        <w:tc>
          <w:tcPr>
            <w:tcW w:w="17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45693B7" w14:textId="77777777" w:rsidR="00A4002D" w:rsidRPr="00CA77B3" w:rsidRDefault="00A4002D">
            <w:pPr>
              <w:jc w:val="center"/>
              <w:rPr>
                <w:b/>
                <w:bCs/>
                <w:color w:val="000000"/>
              </w:rPr>
            </w:pPr>
            <w:r w:rsidRPr="00CA77B3">
              <w:rPr>
                <w:b/>
                <w:bCs/>
                <w:color w:val="000000"/>
              </w:rPr>
              <w:t>SPESE CORRENTI</w:t>
            </w:r>
          </w:p>
        </w:tc>
        <w:tc>
          <w:tcPr>
            <w:tcW w:w="1420" w:type="dxa"/>
            <w:tcBorders>
              <w:top w:val="single" w:sz="8" w:space="0" w:color="auto"/>
              <w:left w:val="nil"/>
              <w:bottom w:val="single" w:sz="8" w:space="0" w:color="auto"/>
              <w:right w:val="nil"/>
            </w:tcBorders>
            <w:shd w:val="clear" w:color="000000" w:fill="FFFFFF"/>
            <w:noWrap/>
            <w:vAlign w:val="center"/>
            <w:hideMark/>
          </w:tcPr>
          <w:p w14:paraId="786DA6B9" w14:textId="77777777" w:rsidR="00A4002D" w:rsidRPr="00CA77B3" w:rsidRDefault="00A4002D">
            <w:pPr>
              <w:jc w:val="center"/>
              <w:rPr>
                <w:b/>
                <w:bCs/>
                <w:color w:val="000000"/>
              </w:rPr>
            </w:pPr>
            <w:r w:rsidRPr="00CA77B3">
              <w:rPr>
                <w:b/>
                <w:bCs/>
                <w:color w:val="000000"/>
              </w:rPr>
              <w:t>Minimo 0,30%</w:t>
            </w:r>
          </w:p>
        </w:tc>
        <w:tc>
          <w:tcPr>
            <w:tcW w:w="142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1A1FFD8" w14:textId="144415A1" w:rsidR="00A4002D" w:rsidRPr="00CA77B3" w:rsidRDefault="00A4002D">
            <w:pPr>
              <w:jc w:val="center"/>
              <w:rPr>
                <w:b/>
                <w:bCs/>
                <w:color w:val="000000"/>
              </w:rPr>
            </w:pPr>
            <w:r w:rsidRPr="00CA77B3">
              <w:rPr>
                <w:b/>
                <w:bCs/>
                <w:color w:val="000000"/>
              </w:rPr>
              <w:t>M</w:t>
            </w:r>
            <w:r w:rsidR="00F04F93">
              <w:rPr>
                <w:b/>
                <w:bCs/>
                <w:color w:val="000000"/>
              </w:rPr>
              <w:t>assimo</w:t>
            </w:r>
            <w:r w:rsidRPr="00CA77B3">
              <w:rPr>
                <w:b/>
                <w:bCs/>
                <w:color w:val="000000"/>
              </w:rPr>
              <w:t xml:space="preserve"> 2%</w:t>
            </w:r>
          </w:p>
        </w:tc>
        <w:tc>
          <w:tcPr>
            <w:tcW w:w="1500" w:type="dxa"/>
            <w:tcBorders>
              <w:top w:val="single" w:sz="8" w:space="0" w:color="auto"/>
              <w:left w:val="nil"/>
              <w:bottom w:val="single" w:sz="8" w:space="0" w:color="auto"/>
              <w:right w:val="single" w:sz="8" w:space="0" w:color="auto"/>
            </w:tcBorders>
            <w:shd w:val="clear" w:color="000000" w:fill="FFFFFF"/>
            <w:vAlign w:val="center"/>
            <w:hideMark/>
          </w:tcPr>
          <w:p w14:paraId="5EE0C607" w14:textId="77777777" w:rsidR="00A4002D" w:rsidRPr="00CA77B3" w:rsidRDefault="00A4002D">
            <w:pPr>
              <w:jc w:val="center"/>
              <w:rPr>
                <w:b/>
                <w:bCs/>
                <w:color w:val="000000"/>
              </w:rPr>
            </w:pPr>
            <w:r w:rsidRPr="00CA77B3">
              <w:rPr>
                <w:b/>
                <w:bCs/>
                <w:color w:val="000000"/>
              </w:rPr>
              <w:t>STANZIAMENTO FONDO DI RISERVA</w:t>
            </w:r>
          </w:p>
        </w:tc>
        <w:tc>
          <w:tcPr>
            <w:tcW w:w="1200" w:type="dxa"/>
            <w:tcBorders>
              <w:top w:val="single" w:sz="8" w:space="0" w:color="auto"/>
              <w:left w:val="nil"/>
              <w:bottom w:val="single" w:sz="8" w:space="0" w:color="auto"/>
              <w:right w:val="single" w:sz="8" w:space="0" w:color="auto"/>
            </w:tcBorders>
            <w:shd w:val="clear" w:color="000000" w:fill="FFFFFF"/>
            <w:noWrap/>
            <w:vAlign w:val="center"/>
            <w:hideMark/>
          </w:tcPr>
          <w:p w14:paraId="7019DC19" w14:textId="77777777" w:rsidR="00A4002D" w:rsidRPr="00CA77B3" w:rsidRDefault="00A4002D">
            <w:pPr>
              <w:jc w:val="center"/>
              <w:rPr>
                <w:b/>
                <w:bCs/>
                <w:color w:val="000000"/>
              </w:rPr>
            </w:pPr>
            <w:r w:rsidRPr="00CA77B3">
              <w:rPr>
                <w:b/>
                <w:bCs/>
                <w:color w:val="000000"/>
              </w:rPr>
              <w:t>% Applicata</w:t>
            </w:r>
          </w:p>
        </w:tc>
      </w:tr>
      <w:tr w:rsidR="00A4002D" w:rsidRPr="00CA77B3" w14:paraId="36061B42" w14:textId="77777777" w:rsidTr="00A4002D">
        <w:trPr>
          <w:trHeight w:val="315"/>
          <w:jc w:val="center"/>
        </w:trPr>
        <w:tc>
          <w:tcPr>
            <w:tcW w:w="980" w:type="dxa"/>
            <w:tcBorders>
              <w:top w:val="nil"/>
              <w:left w:val="single" w:sz="8" w:space="0" w:color="auto"/>
              <w:bottom w:val="single" w:sz="8" w:space="0" w:color="auto"/>
              <w:right w:val="nil"/>
            </w:tcBorders>
            <w:shd w:val="clear" w:color="000000" w:fill="FFFFFF"/>
            <w:noWrap/>
            <w:vAlign w:val="center"/>
            <w:hideMark/>
          </w:tcPr>
          <w:p w14:paraId="295B42A2" w14:textId="77777777" w:rsidR="00A4002D" w:rsidRPr="00CA77B3" w:rsidRDefault="00A4002D">
            <w:pPr>
              <w:jc w:val="center"/>
              <w:rPr>
                <w:color w:val="000000"/>
              </w:rPr>
            </w:pPr>
            <w:r w:rsidRPr="00CA77B3">
              <w:rPr>
                <w:color w:val="000000"/>
              </w:rPr>
              <w:t>2025</w:t>
            </w:r>
          </w:p>
        </w:tc>
        <w:tc>
          <w:tcPr>
            <w:tcW w:w="1780" w:type="dxa"/>
            <w:tcBorders>
              <w:top w:val="nil"/>
              <w:left w:val="single" w:sz="8" w:space="0" w:color="auto"/>
              <w:bottom w:val="single" w:sz="8" w:space="0" w:color="auto"/>
              <w:right w:val="single" w:sz="8" w:space="0" w:color="auto"/>
            </w:tcBorders>
            <w:shd w:val="clear" w:color="000000" w:fill="FFFFFF"/>
            <w:noWrap/>
            <w:vAlign w:val="center"/>
            <w:hideMark/>
          </w:tcPr>
          <w:p w14:paraId="2D181645" w14:textId="77777777" w:rsidR="00A4002D" w:rsidRPr="00CA77B3" w:rsidRDefault="00A4002D">
            <w:pPr>
              <w:jc w:val="center"/>
              <w:rPr>
                <w:color w:val="000000"/>
              </w:rPr>
            </w:pPr>
            <w:r w:rsidRPr="00CA77B3">
              <w:rPr>
                <w:color w:val="000000"/>
              </w:rPr>
              <w:t xml:space="preserve">         15.418.155,62 </w:t>
            </w:r>
          </w:p>
        </w:tc>
        <w:tc>
          <w:tcPr>
            <w:tcW w:w="1420" w:type="dxa"/>
            <w:tcBorders>
              <w:top w:val="nil"/>
              <w:left w:val="nil"/>
              <w:bottom w:val="single" w:sz="8" w:space="0" w:color="auto"/>
              <w:right w:val="nil"/>
            </w:tcBorders>
            <w:shd w:val="clear" w:color="000000" w:fill="FFFFFF"/>
            <w:noWrap/>
            <w:vAlign w:val="center"/>
            <w:hideMark/>
          </w:tcPr>
          <w:p w14:paraId="101B319B" w14:textId="77777777" w:rsidR="00A4002D" w:rsidRPr="00CA77B3" w:rsidRDefault="00A4002D">
            <w:pPr>
              <w:jc w:val="center"/>
              <w:rPr>
                <w:color w:val="000000"/>
              </w:rPr>
            </w:pPr>
            <w:r w:rsidRPr="00CA77B3">
              <w:rPr>
                <w:color w:val="000000"/>
              </w:rPr>
              <w:t xml:space="preserve">         46.254,47 </w:t>
            </w:r>
          </w:p>
        </w:tc>
        <w:tc>
          <w:tcPr>
            <w:tcW w:w="1420" w:type="dxa"/>
            <w:tcBorders>
              <w:top w:val="nil"/>
              <w:left w:val="single" w:sz="8" w:space="0" w:color="auto"/>
              <w:bottom w:val="single" w:sz="8" w:space="0" w:color="auto"/>
              <w:right w:val="single" w:sz="8" w:space="0" w:color="auto"/>
            </w:tcBorders>
            <w:shd w:val="clear" w:color="000000" w:fill="FFFFFF"/>
            <w:noWrap/>
            <w:vAlign w:val="center"/>
            <w:hideMark/>
          </w:tcPr>
          <w:p w14:paraId="7E4AC74B" w14:textId="77777777" w:rsidR="00A4002D" w:rsidRPr="00CA77B3" w:rsidRDefault="00A4002D">
            <w:pPr>
              <w:jc w:val="center"/>
              <w:rPr>
                <w:color w:val="000000"/>
              </w:rPr>
            </w:pPr>
            <w:r w:rsidRPr="00CA77B3">
              <w:rPr>
                <w:color w:val="000000"/>
              </w:rPr>
              <w:t xml:space="preserve">       308.363,11 </w:t>
            </w:r>
          </w:p>
        </w:tc>
        <w:tc>
          <w:tcPr>
            <w:tcW w:w="1500" w:type="dxa"/>
            <w:tcBorders>
              <w:top w:val="nil"/>
              <w:left w:val="nil"/>
              <w:bottom w:val="single" w:sz="8" w:space="0" w:color="auto"/>
              <w:right w:val="single" w:sz="8" w:space="0" w:color="auto"/>
            </w:tcBorders>
            <w:shd w:val="clear" w:color="000000" w:fill="FFFFFF"/>
            <w:noWrap/>
            <w:vAlign w:val="center"/>
            <w:hideMark/>
          </w:tcPr>
          <w:p w14:paraId="15CC8D19" w14:textId="77777777" w:rsidR="00A4002D" w:rsidRPr="00CA77B3" w:rsidRDefault="00A4002D">
            <w:pPr>
              <w:jc w:val="center"/>
              <w:rPr>
                <w:color w:val="000000"/>
              </w:rPr>
            </w:pPr>
            <w:r w:rsidRPr="00CA77B3">
              <w:rPr>
                <w:color w:val="000000"/>
              </w:rPr>
              <w:t xml:space="preserve">         154.181,56 </w:t>
            </w:r>
          </w:p>
        </w:tc>
        <w:tc>
          <w:tcPr>
            <w:tcW w:w="1200" w:type="dxa"/>
            <w:tcBorders>
              <w:top w:val="nil"/>
              <w:left w:val="nil"/>
              <w:bottom w:val="single" w:sz="8" w:space="0" w:color="auto"/>
              <w:right w:val="single" w:sz="8" w:space="0" w:color="auto"/>
            </w:tcBorders>
            <w:shd w:val="clear" w:color="000000" w:fill="FFFFFF"/>
            <w:noWrap/>
            <w:vAlign w:val="center"/>
            <w:hideMark/>
          </w:tcPr>
          <w:p w14:paraId="634DAD81" w14:textId="77777777" w:rsidR="00A4002D" w:rsidRPr="00CA77B3" w:rsidRDefault="00A4002D">
            <w:pPr>
              <w:jc w:val="center"/>
              <w:rPr>
                <w:color w:val="000000"/>
              </w:rPr>
            </w:pPr>
            <w:r w:rsidRPr="00CA77B3">
              <w:rPr>
                <w:color w:val="000000"/>
              </w:rPr>
              <w:t>1,00%</w:t>
            </w:r>
          </w:p>
        </w:tc>
      </w:tr>
      <w:tr w:rsidR="00A4002D" w:rsidRPr="00CA77B3" w14:paraId="59CAA81A" w14:textId="77777777" w:rsidTr="00A4002D">
        <w:trPr>
          <w:trHeight w:val="315"/>
          <w:jc w:val="center"/>
        </w:trPr>
        <w:tc>
          <w:tcPr>
            <w:tcW w:w="980" w:type="dxa"/>
            <w:tcBorders>
              <w:top w:val="nil"/>
              <w:left w:val="single" w:sz="8" w:space="0" w:color="auto"/>
              <w:bottom w:val="single" w:sz="8" w:space="0" w:color="auto"/>
              <w:right w:val="nil"/>
            </w:tcBorders>
            <w:shd w:val="clear" w:color="000000" w:fill="FFFFFF"/>
            <w:noWrap/>
            <w:vAlign w:val="center"/>
            <w:hideMark/>
          </w:tcPr>
          <w:p w14:paraId="2350944F" w14:textId="77777777" w:rsidR="00A4002D" w:rsidRPr="00CA77B3" w:rsidRDefault="00A4002D">
            <w:pPr>
              <w:jc w:val="center"/>
              <w:rPr>
                <w:color w:val="000000"/>
              </w:rPr>
            </w:pPr>
            <w:r w:rsidRPr="00CA77B3">
              <w:rPr>
                <w:color w:val="000000"/>
              </w:rPr>
              <w:t>2026</w:t>
            </w:r>
          </w:p>
        </w:tc>
        <w:tc>
          <w:tcPr>
            <w:tcW w:w="1780" w:type="dxa"/>
            <w:tcBorders>
              <w:top w:val="nil"/>
              <w:left w:val="single" w:sz="8" w:space="0" w:color="auto"/>
              <w:bottom w:val="single" w:sz="8" w:space="0" w:color="auto"/>
              <w:right w:val="single" w:sz="8" w:space="0" w:color="auto"/>
            </w:tcBorders>
            <w:shd w:val="clear" w:color="000000" w:fill="FFFFFF"/>
            <w:noWrap/>
            <w:vAlign w:val="center"/>
            <w:hideMark/>
          </w:tcPr>
          <w:p w14:paraId="655672AA" w14:textId="77777777" w:rsidR="00A4002D" w:rsidRPr="00CA77B3" w:rsidRDefault="00A4002D">
            <w:pPr>
              <w:jc w:val="center"/>
              <w:rPr>
                <w:color w:val="000000"/>
              </w:rPr>
            </w:pPr>
            <w:r w:rsidRPr="00CA77B3">
              <w:rPr>
                <w:color w:val="000000"/>
              </w:rPr>
              <w:t xml:space="preserve">         15.167.894,86 </w:t>
            </w:r>
          </w:p>
        </w:tc>
        <w:tc>
          <w:tcPr>
            <w:tcW w:w="1420" w:type="dxa"/>
            <w:tcBorders>
              <w:top w:val="nil"/>
              <w:left w:val="nil"/>
              <w:bottom w:val="single" w:sz="8" w:space="0" w:color="auto"/>
              <w:right w:val="nil"/>
            </w:tcBorders>
            <w:shd w:val="clear" w:color="000000" w:fill="FFFFFF"/>
            <w:noWrap/>
            <w:vAlign w:val="center"/>
            <w:hideMark/>
          </w:tcPr>
          <w:p w14:paraId="4079C70A" w14:textId="77777777" w:rsidR="00A4002D" w:rsidRPr="00CA77B3" w:rsidRDefault="00A4002D">
            <w:pPr>
              <w:jc w:val="center"/>
              <w:rPr>
                <w:color w:val="000000"/>
              </w:rPr>
            </w:pPr>
            <w:r w:rsidRPr="00CA77B3">
              <w:rPr>
                <w:color w:val="000000"/>
              </w:rPr>
              <w:t xml:space="preserve">         45.503,68 </w:t>
            </w:r>
          </w:p>
        </w:tc>
        <w:tc>
          <w:tcPr>
            <w:tcW w:w="1420" w:type="dxa"/>
            <w:tcBorders>
              <w:top w:val="nil"/>
              <w:left w:val="single" w:sz="8" w:space="0" w:color="auto"/>
              <w:bottom w:val="single" w:sz="8" w:space="0" w:color="auto"/>
              <w:right w:val="single" w:sz="8" w:space="0" w:color="auto"/>
            </w:tcBorders>
            <w:shd w:val="clear" w:color="000000" w:fill="FFFFFF"/>
            <w:noWrap/>
            <w:vAlign w:val="center"/>
            <w:hideMark/>
          </w:tcPr>
          <w:p w14:paraId="1AD597F6" w14:textId="77777777" w:rsidR="00A4002D" w:rsidRPr="00CA77B3" w:rsidRDefault="00A4002D">
            <w:pPr>
              <w:jc w:val="center"/>
              <w:rPr>
                <w:color w:val="000000"/>
              </w:rPr>
            </w:pPr>
            <w:r w:rsidRPr="00CA77B3">
              <w:rPr>
                <w:color w:val="000000"/>
              </w:rPr>
              <w:t xml:space="preserve">       303.357,90 </w:t>
            </w:r>
          </w:p>
        </w:tc>
        <w:tc>
          <w:tcPr>
            <w:tcW w:w="1500" w:type="dxa"/>
            <w:tcBorders>
              <w:top w:val="nil"/>
              <w:left w:val="nil"/>
              <w:bottom w:val="single" w:sz="8" w:space="0" w:color="auto"/>
              <w:right w:val="single" w:sz="8" w:space="0" w:color="auto"/>
            </w:tcBorders>
            <w:shd w:val="clear" w:color="000000" w:fill="FFFFFF"/>
            <w:noWrap/>
            <w:vAlign w:val="center"/>
            <w:hideMark/>
          </w:tcPr>
          <w:p w14:paraId="0F337D3B" w14:textId="77777777" w:rsidR="00A4002D" w:rsidRPr="00CA77B3" w:rsidRDefault="00A4002D">
            <w:pPr>
              <w:jc w:val="center"/>
              <w:rPr>
                <w:color w:val="000000"/>
              </w:rPr>
            </w:pPr>
            <w:r w:rsidRPr="00CA77B3">
              <w:rPr>
                <w:color w:val="000000"/>
              </w:rPr>
              <w:t xml:space="preserve">         151.678,95 </w:t>
            </w:r>
          </w:p>
        </w:tc>
        <w:tc>
          <w:tcPr>
            <w:tcW w:w="1200" w:type="dxa"/>
            <w:tcBorders>
              <w:top w:val="nil"/>
              <w:left w:val="nil"/>
              <w:bottom w:val="single" w:sz="8" w:space="0" w:color="auto"/>
              <w:right w:val="single" w:sz="8" w:space="0" w:color="auto"/>
            </w:tcBorders>
            <w:shd w:val="clear" w:color="000000" w:fill="FFFFFF"/>
            <w:noWrap/>
            <w:vAlign w:val="center"/>
            <w:hideMark/>
          </w:tcPr>
          <w:p w14:paraId="4557F123" w14:textId="77777777" w:rsidR="00A4002D" w:rsidRPr="00CA77B3" w:rsidRDefault="00A4002D">
            <w:pPr>
              <w:jc w:val="center"/>
              <w:rPr>
                <w:color w:val="000000"/>
              </w:rPr>
            </w:pPr>
            <w:r w:rsidRPr="00CA77B3">
              <w:rPr>
                <w:color w:val="000000"/>
              </w:rPr>
              <w:t>1,00%</w:t>
            </w:r>
          </w:p>
        </w:tc>
      </w:tr>
      <w:tr w:rsidR="00A4002D" w:rsidRPr="00CA77B3" w14:paraId="2C01F555" w14:textId="77777777" w:rsidTr="00A4002D">
        <w:trPr>
          <w:trHeight w:val="315"/>
          <w:jc w:val="center"/>
        </w:trPr>
        <w:tc>
          <w:tcPr>
            <w:tcW w:w="980" w:type="dxa"/>
            <w:tcBorders>
              <w:top w:val="nil"/>
              <w:left w:val="single" w:sz="8" w:space="0" w:color="auto"/>
              <w:bottom w:val="single" w:sz="8" w:space="0" w:color="auto"/>
              <w:right w:val="nil"/>
            </w:tcBorders>
            <w:shd w:val="clear" w:color="000000" w:fill="FFFFFF"/>
            <w:noWrap/>
            <w:vAlign w:val="center"/>
            <w:hideMark/>
          </w:tcPr>
          <w:p w14:paraId="4E9FC5DC" w14:textId="77777777" w:rsidR="00A4002D" w:rsidRPr="00CA77B3" w:rsidRDefault="00A4002D">
            <w:pPr>
              <w:jc w:val="center"/>
              <w:rPr>
                <w:color w:val="000000"/>
              </w:rPr>
            </w:pPr>
            <w:r w:rsidRPr="00CA77B3">
              <w:rPr>
                <w:color w:val="000000"/>
              </w:rPr>
              <w:t>2027</w:t>
            </w:r>
          </w:p>
        </w:tc>
        <w:tc>
          <w:tcPr>
            <w:tcW w:w="1780" w:type="dxa"/>
            <w:tcBorders>
              <w:top w:val="nil"/>
              <w:left w:val="single" w:sz="8" w:space="0" w:color="auto"/>
              <w:bottom w:val="single" w:sz="8" w:space="0" w:color="auto"/>
              <w:right w:val="single" w:sz="8" w:space="0" w:color="auto"/>
            </w:tcBorders>
            <w:shd w:val="clear" w:color="000000" w:fill="FFFFFF"/>
            <w:noWrap/>
            <w:vAlign w:val="center"/>
            <w:hideMark/>
          </w:tcPr>
          <w:p w14:paraId="62766FA6" w14:textId="77777777" w:rsidR="00A4002D" w:rsidRPr="00CA77B3" w:rsidRDefault="00A4002D">
            <w:pPr>
              <w:jc w:val="center"/>
              <w:rPr>
                <w:color w:val="000000"/>
              </w:rPr>
            </w:pPr>
            <w:r w:rsidRPr="00CA77B3">
              <w:rPr>
                <w:color w:val="000000"/>
              </w:rPr>
              <w:t xml:space="preserve">         15.317.894,86 </w:t>
            </w:r>
          </w:p>
        </w:tc>
        <w:tc>
          <w:tcPr>
            <w:tcW w:w="1420" w:type="dxa"/>
            <w:tcBorders>
              <w:top w:val="nil"/>
              <w:left w:val="nil"/>
              <w:bottom w:val="single" w:sz="8" w:space="0" w:color="auto"/>
              <w:right w:val="nil"/>
            </w:tcBorders>
            <w:shd w:val="clear" w:color="000000" w:fill="FFFFFF"/>
            <w:noWrap/>
            <w:vAlign w:val="center"/>
            <w:hideMark/>
          </w:tcPr>
          <w:p w14:paraId="74A60E44" w14:textId="77777777" w:rsidR="00A4002D" w:rsidRPr="00CA77B3" w:rsidRDefault="00A4002D">
            <w:pPr>
              <w:jc w:val="center"/>
              <w:rPr>
                <w:color w:val="000000"/>
              </w:rPr>
            </w:pPr>
            <w:r w:rsidRPr="00CA77B3">
              <w:rPr>
                <w:color w:val="000000"/>
              </w:rPr>
              <w:t xml:space="preserve">         45.953,68 </w:t>
            </w:r>
          </w:p>
        </w:tc>
        <w:tc>
          <w:tcPr>
            <w:tcW w:w="1420" w:type="dxa"/>
            <w:tcBorders>
              <w:top w:val="nil"/>
              <w:left w:val="single" w:sz="8" w:space="0" w:color="auto"/>
              <w:bottom w:val="single" w:sz="8" w:space="0" w:color="auto"/>
              <w:right w:val="single" w:sz="8" w:space="0" w:color="auto"/>
            </w:tcBorders>
            <w:shd w:val="clear" w:color="000000" w:fill="FFFFFF"/>
            <w:noWrap/>
            <w:vAlign w:val="center"/>
            <w:hideMark/>
          </w:tcPr>
          <w:p w14:paraId="217E342D" w14:textId="77777777" w:rsidR="00A4002D" w:rsidRPr="00CA77B3" w:rsidRDefault="00A4002D">
            <w:pPr>
              <w:jc w:val="center"/>
              <w:rPr>
                <w:color w:val="000000"/>
              </w:rPr>
            </w:pPr>
            <w:r w:rsidRPr="00CA77B3">
              <w:rPr>
                <w:color w:val="000000"/>
              </w:rPr>
              <w:t xml:space="preserve">       306.357,90 </w:t>
            </w:r>
          </w:p>
        </w:tc>
        <w:tc>
          <w:tcPr>
            <w:tcW w:w="1500" w:type="dxa"/>
            <w:tcBorders>
              <w:top w:val="nil"/>
              <w:left w:val="nil"/>
              <w:bottom w:val="single" w:sz="8" w:space="0" w:color="auto"/>
              <w:right w:val="single" w:sz="8" w:space="0" w:color="auto"/>
            </w:tcBorders>
            <w:shd w:val="clear" w:color="000000" w:fill="FFFFFF"/>
            <w:noWrap/>
            <w:vAlign w:val="center"/>
            <w:hideMark/>
          </w:tcPr>
          <w:p w14:paraId="01A4645D" w14:textId="77777777" w:rsidR="00A4002D" w:rsidRPr="00CA77B3" w:rsidRDefault="00A4002D">
            <w:pPr>
              <w:jc w:val="center"/>
              <w:rPr>
                <w:color w:val="000000"/>
              </w:rPr>
            </w:pPr>
            <w:r w:rsidRPr="00CA77B3">
              <w:rPr>
                <w:color w:val="000000"/>
              </w:rPr>
              <w:t xml:space="preserve">         153.178,95 </w:t>
            </w:r>
          </w:p>
        </w:tc>
        <w:tc>
          <w:tcPr>
            <w:tcW w:w="1200" w:type="dxa"/>
            <w:tcBorders>
              <w:top w:val="nil"/>
              <w:left w:val="nil"/>
              <w:bottom w:val="single" w:sz="8" w:space="0" w:color="auto"/>
              <w:right w:val="single" w:sz="8" w:space="0" w:color="auto"/>
            </w:tcBorders>
            <w:shd w:val="clear" w:color="000000" w:fill="FFFFFF"/>
            <w:noWrap/>
            <w:vAlign w:val="center"/>
            <w:hideMark/>
          </w:tcPr>
          <w:p w14:paraId="1AAAF83D" w14:textId="77777777" w:rsidR="00A4002D" w:rsidRPr="00CA77B3" w:rsidRDefault="00A4002D">
            <w:pPr>
              <w:jc w:val="center"/>
              <w:rPr>
                <w:color w:val="000000"/>
              </w:rPr>
            </w:pPr>
            <w:r w:rsidRPr="00CA77B3">
              <w:rPr>
                <w:color w:val="000000"/>
              </w:rPr>
              <w:t>1,00%</w:t>
            </w:r>
          </w:p>
        </w:tc>
      </w:tr>
    </w:tbl>
    <w:p w14:paraId="04272BA7" w14:textId="77777777" w:rsidR="00B062DF" w:rsidRPr="00CA77B3" w:rsidRDefault="00B062DF" w:rsidP="000E1F9B">
      <w:pPr>
        <w:jc w:val="both"/>
      </w:pPr>
    </w:p>
    <w:p w14:paraId="53477919" w14:textId="77777777" w:rsidR="00B062DF" w:rsidRPr="00CA77B3" w:rsidRDefault="00B062DF" w:rsidP="000E1F9B">
      <w:pPr>
        <w:jc w:val="both"/>
      </w:pPr>
    </w:p>
    <w:p w14:paraId="22754B2E" w14:textId="70390E84" w:rsidR="004B5DED" w:rsidRPr="00CA77B3" w:rsidRDefault="004B5DED" w:rsidP="004B5DED">
      <w:pPr>
        <w:jc w:val="both"/>
      </w:pPr>
      <w:r w:rsidRPr="00CA77B3">
        <w:t xml:space="preserve">Per quanto invece concerne la valorizzazione del fondo crediti di dubbia esigibilità, i relativi stanziamenti sono stati determinati nel rispetto del principio di prudenza e dei valori stabiliti dalla legge n. 190/2014. A tal fine è previsto nel bilancio di previsione nella missione “Fondi e accantonamenti” il programma “Fondo crediti di dubbia esigibilità” il cui ammontare è determinato </w:t>
      </w:r>
      <w:r w:rsidRPr="00CA77B3">
        <w:lastRenderedPageBreak/>
        <w:t>in considerazione della dimensione degli stanziamenti relativi ai crediti individuati come dubbi che si prevede si formeranno nell’esercizio, della loro natura e dell’andamento del fenomeno negli ultimi cinque esercizi precedenti (la media del rapporto tra incassi e accertamenti per ciascuna tipologia di entrata).</w:t>
      </w:r>
    </w:p>
    <w:p w14:paraId="792450F9" w14:textId="77777777" w:rsidR="004B5DED" w:rsidRPr="00CA77B3" w:rsidRDefault="004B5DED" w:rsidP="004B5DED">
      <w:pPr>
        <w:jc w:val="both"/>
      </w:pPr>
    </w:p>
    <w:p w14:paraId="51965EF2" w14:textId="77777777" w:rsidR="004B5DED" w:rsidRPr="00CA77B3" w:rsidRDefault="004B5DED" w:rsidP="004B5DED">
      <w:pPr>
        <w:jc w:val="both"/>
      </w:pPr>
      <w:r w:rsidRPr="00CA77B3">
        <w:t>Il fondo è stato calcolato secondo quanto stabilito dal principio contabile con riferimento alla media</w:t>
      </w:r>
    </w:p>
    <w:p w14:paraId="10C54268" w14:textId="77777777" w:rsidR="004B5DED" w:rsidRPr="00CA77B3" w:rsidRDefault="004B5DED" w:rsidP="004B5DED">
      <w:pPr>
        <w:jc w:val="both"/>
      </w:pPr>
      <w:r w:rsidRPr="00CA77B3">
        <w:t>dell’andamento delle entrate (accertamenti/incassi) nel quinquennio precedente.</w:t>
      </w:r>
    </w:p>
    <w:p w14:paraId="7D5B297D" w14:textId="34C7CA61" w:rsidR="004B5DED" w:rsidRPr="00CA77B3" w:rsidRDefault="004B5DED" w:rsidP="004B5DED">
      <w:pPr>
        <w:jc w:val="both"/>
      </w:pPr>
      <w:r w:rsidRPr="00CA77B3">
        <w:t>La media è stata calcolata con la modalità della media semplice tra totale incassato e totale accertato.</w:t>
      </w:r>
    </w:p>
    <w:p w14:paraId="62ED5AA1" w14:textId="77777777" w:rsidR="004B5DED" w:rsidRPr="00CA77B3" w:rsidRDefault="004B5DED" w:rsidP="004B5DED">
      <w:pPr>
        <w:jc w:val="both"/>
      </w:pPr>
    </w:p>
    <w:p w14:paraId="3650EEE4" w14:textId="2ABE55C6" w:rsidR="004B5DED" w:rsidRPr="00CA77B3" w:rsidRDefault="004B5DED" w:rsidP="004B5DED">
      <w:pPr>
        <w:jc w:val="both"/>
      </w:pPr>
      <w:r w:rsidRPr="00CA77B3">
        <w:t>Non si è proceduto all’accantonamento al fondo crediti di dubbia esigibilità per:</w:t>
      </w:r>
    </w:p>
    <w:p w14:paraId="59E97652" w14:textId="77777777" w:rsidR="004B5DED" w:rsidRPr="00CA77B3" w:rsidRDefault="004B5DED" w:rsidP="004B5DED">
      <w:pPr>
        <w:jc w:val="both"/>
      </w:pPr>
      <w:r w:rsidRPr="00CA77B3">
        <w:t>- i crediti da altre amministrazioni pubbliche in quanto destinati ad essere accertati a seguito</w:t>
      </w:r>
    </w:p>
    <w:p w14:paraId="6C6D0B4B" w14:textId="77777777" w:rsidR="004B5DED" w:rsidRPr="00CA77B3" w:rsidRDefault="004B5DED" w:rsidP="004B5DED">
      <w:pPr>
        <w:jc w:val="both"/>
      </w:pPr>
      <w:r w:rsidRPr="00CA77B3">
        <w:t>dell’assunzione dell’impegno da parte dell’amministrazione erogante;</w:t>
      </w:r>
    </w:p>
    <w:p w14:paraId="2E571E7A" w14:textId="77777777" w:rsidR="004B5DED" w:rsidRPr="00CA77B3" w:rsidRDefault="004B5DED" w:rsidP="004B5DED">
      <w:pPr>
        <w:jc w:val="both"/>
      </w:pPr>
      <w:r w:rsidRPr="00CA77B3">
        <w:t>- le entrate tributarie che sulla base dei nuovi principi sono accertate per cassa (v. principio contabile 3.7);</w:t>
      </w:r>
    </w:p>
    <w:p w14:paraId="71450341" w14:textId="5F390D41" w:rsidR="004B5DED" w:rsidRPr="00CA77B3" w:rsidRDefault="004B5DED" w:rsidP="004B5DED">
      <w:pPr>
        <w:jc w:val="both"/>
      </w:pPr>
      <w:r w:rsidRPr="00CA77B3">
        <w:t>- altre entrate che l’ente non considera di dubbia e difficile esazione.</w:t>
      </w:r>
    </w:p>
    <w:p w14:paraId="033F81D4" w14:textId="116D8BE1" w:rsidR="003E5C44" w:rsidRPr="00CA77B3" w:rsidRDefault="003E5C44" w:rsidP="004B5DED">
      <w:pPr>
        <w:jc w:val="both"/>
      </w:pPr>
      <w:r w:rsidRPr="00CA77B3">
        <w:t xml:space="preserve">- entrate IMU ordinaria (riscossa in </w:t>
      </w:r>
      <w:r w:rsidR="00985321" w:rsidRPr="00CA77B3">
        <w:t>autodichiarazione</w:t>
      </w:r>
      <w:r w:rsidRPr="00CA77B3">
        <w:t xml:space="preserve">) </w:t>
      </w:r>
    </w:p>
    <w:p w14:paraId="70D4F3D4" w14:textId="77777777" w:rsidR="004B5DED" w:rsidRPr="00CA77B3" w:rsidRDefault="004B5DED" w:rsidP="004B5DED">
      <w:pPr>
        <w:jc w:val="both"/>
      </w:pPr>
    </w:p>
    <w:p w14:paraId="36FD8276" w14:textId="1FB008D3" w:rsidR="004B5DED" w:rsidRPr="00CA77B3" w:rsidRDefault="008826B2" w:rsidP="008826B2">
      <w:pPr>
        <w:jc w:val="center"/>
      </w:pPr>
      <w:r w:rsidRPr="00CA77B3">
        <w:object w:dxaOrig="23178" w:dyaOrig="22109" w14:anchorId="48F707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95pt;height:466.4pt" o:ole="">
            <v:imagedata r:id="rId9" o:title=""/>
          </v:shape>
          <o:OLEObject Type="Embed" ProgID="Excel.Sheet.12" ShapeID="_x0000_i1025" DrawAspect="Content" ObjectID="_1826356069" r:id="rId10"/>
        </w:object>
      </w:r>
    </w:p>
    <w:p w14:paraId="4DB176C0" w14:textId="77777777" w:rsidR="004B5DED" w:rsidRPr="00CA77B3" w:rsidRDefault="004B5DED" w:rsidP="004B5DED">
      <w:pPr>
        <w:jc w:val="both"/>
      </w:pPr>
    </w:p>
    <w:p w14:paraId="352A7D36" w14:textId="696B6000" w:rsidR="004B5DED" w:rsidRPr="00CA77B3" w:rsidRDefault="008826B2" w:rsidP="004B5DED">
      <w:pPr>
        <w:jc w:val="both"/>
      </w:pPr>
      <w:r w:rsidRPr="00CA77B3">
        <w:object w:dxaOrig="23178" w:dyaOrig="22080" w14:anchorId="4650C740">
          <v:shape id="_x0000_i1026" type="#_x0000_t75" style="width:486.8pt;height:462.65pt" o:ole="">
            <v:imagedata r:id="rId11" o:title=""/>
          </v:shape>
          <o:OLEObject Type="Embed" ProgID="Excel.Sheet.12" ShapeID="_x0000_i1026" DrawAspect="Content" ObjectID="_1826356070" r:id="rId12"/>
        </w:object>
      </w:r>
    </w:p>
    <w:p w14:paraId="06D9A9A1" w14:textId="77777777" w:rsidR="008826B2" w:rsidRPr="00CA77B3" w:rsidRDefault="008826B2" w:rsidP="004B5DED">
      <w:pPr>
        <w:jc w:val="both"/>
      </w:pPr>
    </w:p>
    <w:p w14:paraId="2F4F778A" w14:textId="77777777" w:rsidR="00DD4481" w:rsidRPr="00CA77B3" w:rsidRDefault="00DD4481" w:rsidP="004B5DED">
      <w:pPr>
        <w:jc w:val="both"/>
      </w:pPr>
    </w:p>
    <w:p w14:paraId="7C7105B8" w14:textId="77777777" w:rsidR="00952566" w:rsidRDefault="00952566" w:rsidP="004B5DED">
      <w:pPr>
        <w:jc w:val="both"/>
      </w:pPr>
    </w:p>
    <w:p w14:paraId="0A1E588A" w14:textId="2CF78CD9" w:rsidR="00952566" w:rsidRDefault="00952566" w:rsidP="00952566">
      <w:pPr>
        <w:jc w:val="both"/>
      </w:pPr>
      <w:r w:rsidRPr="007C7CC5">
        <w:rPr>
          <w:rFonts w:cs="Arial"/>
        </w:rPr>
        <w:t xml:space="preserve">In sede di previsione, a mente di quanto disposto dal pc all.4/2, punto 5.2, lett. h), gli enti hanno </w:t>
      </w:r>
      <w:r w:rsidRPr="00952566">
        <w:rPr>
          <w:i/>
          <w:iCs/>
        </w:rPr>
        <w:t>“l’obbligo di accantonare nel primo esercizio considerato nel bilancio di previsione, il fondo riguardante il nuovo contenzioso formatosi nel corso dell’esercizio precedente</w:t>
      </w:r>
      <w:r w:rsidRPr="007C7CC5">
        <w:rPr>
          <w:i/>
          <w:iCs/>
        </w:rPr>
        <w:t xml:space="preserve"> (compreso l’esercizio in corso, in caso di esercizio provvisorio). In presenza di contenzioso di importo particolarmente rilevante, l’accantonamento annuale può essere ripartito, in quote uguali, tra gli esercizi considerati nel bilancio di previsione o a prudente valutazione dell’ente”.</w:t>
      </w:r>
      <w:r w:rsidRPr="007C7CC5">
        <w:t xml:space="preserve"> Quindi per l’esercizio 2026 gli enti dovranno valutare, alla data di redazione del bilancio, le cause incardinate nel corso del 2025 ed effettuare gli opportuni accantonamenti. Per la seconda e terza annualità del bilancio l’accantonamento è disposto su base prudenziale. Nel bilancio di previsione risulta allocato l’accantonamento per tale finalità, sulla base della ricognizione del contenzios</w:t>
      </w:r>
      <w:r>
        <w:t xml:space="preserve">i avvenuta a seguito di circolarizzazione dei legali </w:t>
      </w:r>
      <w:r w:rsidRPr="00CA77B3">
        <w:t>che sarà rivista in sede di rendiconto</w:t>
      </w:r>
      <w:r>
        <w:t>:</w:t>
      </w:r>
    </w:p>
    <w:p w14:paraId="134F9609" w14:textId="77777777" w:rsidR="00952566" w:rsidRDefault="00952566" w:rsidP="00952566">
      <w:pPr>
        <w:jc w:val="both"/>
      </w:pPr>
    </w:p>
    <w:p w14:paraId="5B99C3CC" w14:textId="77777777" w:rsidR="00952566" w:rsidRPr="007C7CC5" w:rsidRDefault="00952566" w:rsidP="00952566">
      <w:pPr>
        <w:jc w:val="both"/>
      </w:pPr>
    </w:p>
    <w:tbl>
      <w:tblPr>
        <w:tblStyle w:val="Tabellagriglia4-colore1"/>
        <w:tblW w:w="9616" w:type="dxa"/>
        <w:tblLook w:val="04A0" w:firstRow="1" w:lastRow="0" w:firstColumn="1" w:lastColumn="0" w:noHBand="0" w:noVBand="1"/>
      </w:tblPr>
      <w:tblGrid>
        <w:gridCol w:w="4957"/>
        <w:gridCol w:w="1553"/>
        <w:gridCol w:w="1553"/>
        <w:gridCol w:w="1553"/>
      </w:tblGrid>
      <w:tr w:rsidR="00952566" w:rsidRPr="007C7CC5" w14:paraId="20BF3B56" w14:textId="77777777" w:rsidTr="005B56DE">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957" w:type="dxa"/>
            <w:vAlign w:val="center"/>
          </w:tcPr>
          <w:p w14:paraId="493757A9" w14:textId="77777777" w:rsidR="00952566" w:rsidRPr="007C7CC5" w:rsidRDefault="00952566" w:rsidP="005B56DE">
            <w:pPr>
              <w:jc w:val="center"/>
              <w:rPr>
                <w:noProof/>
              </w:rPr>
            </w:pPr>
            <w:r w:rsidRPr="007C7CC5">
              <w:rPr>
                <w:noProof/>
              </w:rPr>
              <w:lastRenderedPageBreak/>
              <w:t>Descrizione</w:t>
            </w:r>
          </w:p>
        </w:tc>
        <w:tc>
          <w:tcPr>
            <w:tcW w:w="1553" w:type="dxa"/>
            <w:vAlign w:val="center"/>
          </w:tcPr>
          <w:p w14:paraId="6B2ACAB4" w14:textId="77777777" w:rsidR="00952566" w:rsidRPr="007C7CC5" w:rsidRDefault="00952566" w:rsidP="005B56DE">
            <w:pPr>
              <w:jc w:val="center"/>
              <w:cnfStyle w:val="100000000000" w:firstRow="1" w:lastRow="0" w:firstColumn="0" w:lastColumn="0" w:oddVBand="0" w:evenVBand="0" w:oddHBand="0" w:evenHBand="0" w:firstRowFirstColumn="0" w:firstRowLastColumn="0" w:lastRowFirstColumn="0" w:lastRowLastColumn="0"/>
              <w:rPr>
                <w:noProof/>
              </w:rPr>
            </w:pPr>
            <w:r w:rsidRPr="007C7CC5">
              <w:rPr>
                <w:noProof/>
              </w:rPr>
              <w:t>2026</w:t>
            </w:r>
          </w:p>
        </w:tc>
        <w:tc>
          <w:tcPr>
            <w:tcW w:w="1553" w:type="dxa"/>
            <w:vAlign w:val="center"/>
          </w:tcPr>
          <w:p w14:paraId="63AF5333" w14:textId="77777777" w:rsidR="00952566" w:rsidRPr="007C7CC5" w:rsidRDefault="00952566" w:rsidP="005B56DE">
            <w:pPr>
              <w:jc w:val="center"/>
              <w:cnfStyle w:val="100000000000" w:firstRow="1" w:lastRow="0" w:firstColumn="0" w:lastColumn="0" w:oddVBand="0" w:evenVBand="0" w:oddHBand="0" w:evenHBand="0" w:firstRowFirstColumn="0" w:firstRowLastColumn="0" w:lastRowFirstColumn="0" w:lastRowLastColumn="0"/>
              <w:rPr>
                <w:noProof/>
              </w:rPr>
            </w:pPr>
            <w:r w:rsidRPr="007C7CC5">
              <w:rPr>
                <w:noProof/>
              </w:rPr>
              <w:t>2027</w:t>
            </w:r>
          </w:p>
        </w:tc>
        <w:tc>
          <w:tcPr>
            <w:tcW w:w="1553" w:type="dxa"/>
            <w:vAlign w:val="center"/>
          </w:tcPr>
          <w:p w14:paraId="5817B673" w14:textId="77777777" w:rsidR="00952566" w:rsidRPr="007C7CC5" w:rsidRDefault="00952566" w:rsidP="005B56DE">
            <w:pPr>
              <w:jc w:val="center"/>
              <w:cnfStyle w:val="100000000000" w:firstRow="1" w:lastRow="0" w:firstColumn="0" w:lastColumn="0" w:oddVBand="0" w:evenVBand="0" w:oddHBand="0" w:evenHBand="0" w:firstRowFirstColumn="0" w:firstRowLastColumn="0" w:lastRowFirstColumn="0" w:lastRowLastColumn="0"/>
              <w:rPr>
                <w:noProof/>
              </w:rPr>
            </w:pPr>
            <w:r w:rsidRPr="007C7CC5">
              <w:rPr>
                <w:noProof/>
              </w:rPr>
              <w:t>2028</w:t>
            </w:r>
          </w:p>
        </w:tc>
      </w:tr>
      <w:tr w:rsidR="00952566" w:rsidRPr="007C7CC5" w14:paraId="6CCFB1A4" w14:textId="77777777" w:rsidTr="005B56DE">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957" w:type="dxa"/>
          </w:tcPr>
          <w:p w14:paraId="635418BF" w14:textId="77777777" w:rsidR="00952566" w:rsidRPr="007C7CC5" w:rsidRDefault="00952566" w:rsidP="005B56DE">
            <w:pPr>
              <w:rPr>
                <w:noProof/>
              </w:rPr>
            </w:pPr>
            <w:r w:rsidRPr="007C7CC5">
              <w:rPr>
                <w:noProof/>
              </w:rPr>
              <w:t>Fondo rischi contenzioso</w:t>
            </w:r>
          </w:p>
        </w:tc>
        <w:tc>
          <w:tcPr>
            <w:tcW w:w="1553" w:type="dxa"/>
          </w:tcPr>
          <w:p w14:paraId="2C4654AB" w14:textId="59625AAE" w:rsidR="00952566" w:rsidRPr="007C7CC5" w:rsidRDefault="00952566" w:rsidP="005B56DE">
            <w:pPr>
              <w:cnfStyle w:val="000000100000" w:firstRow="0" w:lastRow="0" w:firstColumn="0" w:lastColumn="0" w:oddVBand="0" w:evenVBand="0" w:oddHBand="1" w:evenHBand="0" w:firstRowFirstColumn="0" w:firstRowLastColumn="0" w:lastRowFirstColumn="0" w:lastRowLastColumn="0"/>
              <w:rPr>
                <w:noProof/>
              </w:rPr>
            </w:pPr>
            <w:r>
              <w:t xml:space="preserve">   </w:t>
            </w:r>
            <w:r w:rsidRPr="00CA77B3">
              <w:t>334.815,74</w:t>
            </w:r>
          </w:p>
        </w:tc>
        <w:tc>
          <w:tcPr>
            <w:tcW w:w="1553" w:type="dxa"/>
          </w:tcPr>
          <w:p w14:paraId="212AF293" w14:textId="695D34FF" w:rsidR="00952566" w:rsidRPr="007C7CC5" w:rsidRDefault="00952566" w:rsidP="005B56DE">
            <w:pPr>
              <w:cnfStyle w:val="000000100000" w:firstRow="0" w:lastRow="0" w:firstColumn="0" w:lastColumn="0" w:oddVBand="0" w:evenVBand="0" w:oddHBand="1" w:evenHBand="0" w:firstRowFirstColumn="0" w:firstRowLastColumn="0" w:lastRowFirstColumn="0" w:lastRowLastColumn="0"/>
              <w:rPr>
                <w:noProof/>
              </w:rPr>
            </w:pPr>
            <w:r>
              <w:rPr>
                <w:noProof/>
              </w:rPr>
              <w:t>0,00</w:t>
            </w:r>
          </w:p>
        </w:tc>
        <w:tc>
          <w:tcPr>
            <w:tcW w:w="1553" w:type="dxa"/>
          </w:tcPr>
          <w:p w14:paraId="07A8ABB3" w14:textId="7BCE1BEF" w:rsidR="00952566" w:rsidRPr="007C7CC5" w:rsidRDefault="00952566" w:rsidP="005B56DE">
            <w:pPr>
              <w:cnfStyle w:val="000000100000" w:firstRow="0" w:lastRow="0" w:firstColumn="0" w:lastColumn="0" w:oddVBand="0" w:evenVBand="0" w:oddHBand="1" w:evenHBand="0" w:firstRowFirstColumn="0" w:firstRowLastColumn="0" w:lastRowFirstColumn="0" w:lastRowLastColumn="0"/>
              <w:rPr>
                <w:noProof/>
              </w:rPr>
            </w:pPr>
            <w:r>
              <w:rPr>
                <w:noProof/>
              </w:rPr>
              <w:t>0,00</w:t>
            </w:r>
          </w:p>
        </w:tc>
      </w:tr>
    </w:tbl>
    <w:p w14:paraId="5D2907D5" w14:textId="77777777" w:rsidR="00952566" w:rsidRDefault="00952566" w:rsidP="004B5DED">
      <w:pPr>
        <w:jc w:val="both"/>
      </w:pPr>
    </w:p>
    <w:p w14:paraId="229FA4A0" w14:textId="77777777" w:rsidR="00C748D7" w:rsidRDefault="00C748D7" w:rsidP="00C748D7">
      <w:r w:rsidRPr="007C7CC5">
        <w:t>Nel bilancio di previsione sono altresì iscritti i seguenti ulteriori accantonamenti:</w:t>
      </w:r>
    </w:p>
    <w:p w14:paraId="3F30F97A" w14:textId="77777777" w:rsidR="00C748D7" w:rsidRDefault="00C748D7" w:rsidP="00C748D7"/>
    <w:tbl>
      <w:tblPr>
        <w:tblStyle w:val="Tabellaelenco3-colore51"/>
        <w:tblW w:w="9503"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5382"/>
        <w:gridCol w:w="1365"/>
        <w:gridCol w:w="1365"/>
        <w:gridCol w:w="1391"/>
      </w:tblGrid>
      <w:tr w:rsidR="00C748D7" w:rsidRPr="007C7CC5" w14:paraId="46EECBE0" w14:textId="77777777" w:rsidTr="005B56DE">
        <w:trPr>
          <w:cnfStyle w:val="100000000000" w:firstRow="1" w:lastRow="0" w:firstColumn="0" w:lastColumn="0" w:oddVBand="0" w:evenVBand="0" w:oddHBand="0" w:evenHBand="0" w:firstRowFirstColumn="0" w:firstRowLastColumn="0" w:lastRowFirstColumn="0" w:lastRowLastColumn="0"/>
          <w:trHeight w:val="356"/>
        </w:trPr>
        <w:tc>
          <w:tcPr>
            <w:cnfStyle w:val="001000000100" w:firstRow="0" w:lastRow="0" w:firstColumn="1" w:lastColumn="0" w:oddVBand="0" w:evenVBand="0" w:oddHBand="0" w:evenHBand="0" w:firstRowFirstColumn="1" w:firstRowLastColumn="0" w:lastRowFirstColumn="0" w:lastRowLastColumn="0"/>
            <w:tcW w:w="5382" w:type="dxa"/>
            <w:shd w:val="clear" w:color="auto" w:fill="002060"/>
            <w:noWrap/>
            <w:vAlign w:val="center"/>
            <w:hideMark/>
          </w:tcPr>
          <w:p w14:paraId="14D7A6B7" w14:textId="77777777" w:rsidR="00C748D7" w:rsidRPr="007C7CC5" w:rsidRDefault="00C748D7" w:rsidP="005B56DE">
            <w:pPr>
              <w:jc w:val="center"/>
              <w:rPr>
                <w:rFonts w:eastAsia="Times New Roman" w:cs="Arial"/>
                <w:sz w:val="20"/>
                <w:szCs w:val="16"/>
                <w:lang w:eastAsia="it-IT"/>
              </w:rPr>
            </w:pPr>
            <w:r w:rsidRPr="007C7CC5">
              <w:rPr>
                <w:rFonts w:eastAsia="Times New Roman" w:cs="Arial"/>
                <w:sz w:val="20"/>
                <w:szCs w:val="16"/>
                <w:lang w:eastAsia="it-IT"/>
              </w:rPr>
              <w:t>Accantonamento</w:t>
            </w:r>
          </w:p>
        </w:tc>
        <w:tc>
          <w:tcPr>
            <w:tcW w:w="1365" w:type="dxa"/>
            <w:shd w:val="clear" w:color="auto" w:fill="002060"/>
            <w:noWrap/>
            <w:vAlign w:val="center"/>
          </w:tcPr>
          <w:p w14:paraId="3023809D" w14:textId="77777777" w:rsidR="00C748D7" w:rsidRPr="007C7CC5" w:rsidRDefault="00C748D7" w:rsidP="005B56DE">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16"/>
                <w:lang w:eastAsia="it-IT"/>
              </w:rPr>
            </w:pPr>
            <w:r w:rsidRPr="007C7CC5">
              <w:rPr>
                <w:rFonts w:eastAsia="Times New Roman" w:cs="Arial"/>
                <w:sz w:val="20"/>
                <w:szCs w:val="16"/>
                <w:lang w:eastAsia="it-IT"/>
              </w:rPr>
              <w:t>1° anno</w:t>
            </w:r>
          </w:p>
        </w:tc>
        <w:tc>
          <w:tcPr>
            <w:tcW w:w="1365" w:type="dxa"/>
            <w:shd w:val="clear" w:color="auto" w:fill="002060"/>
            <w:noWrap/>
            <w:vAlign w:val="center"/>
          </w:tcPr>
          <w:p w14:paraId="5D09E179" w14:textId="77777777" w:rsidR="00C748D7" w:rsidRPr="007C7CC5" w:rsidRDefault="00C748D7" w:rsidP="005B56DE">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16"/>
                <w:lang w:eastAsia="it-IT"/>
              </w:rPr>
            </w:pPr>
            <w:r w:rsidRPr="007C7CC5">
              <w:rPr>
                <w:rFonts w:eastAsia="Times New Roman" w:cs="Arial"/>
                <w:sz w:val="20"/>
                <w:szCs w:val="16"/>
                <w:lang w:eastAsia="it-IT"/>
              </w:rPr>
              <w:t>2° anno</w:t>
            </w:r>
          </w:p>
        </w:tc>
        <w:tc>
          <w:tcPr>
            <w:tcW w:w="1391" w:type="dxa"/>
            <w:shd w:val="clear" w:color="auto" w:fill="002060"/>
            <w:noWrap/>
            <w:vAlign w:val="center"/>
          </w:tcPr>
          <w:p w14:paraId="5F1BC203" w14:textId="77777777" w:rsidR="00C748D7" w:rsidRPr="007C7CC5" w:rsidRDefault="00C748D7" w:rsidP="005B56DE">
            <w:pPr>
              <w:jc w:val="center"/>
              <w:cnfStyle w:val="100000000000" w:firstRow="1" w:lastRow="0" w:firstColumn="0" w:lastColumn="0" w:oddVBand="0" w:evenVBand="0" w:oddHBand="0" w:evenHBand="0" w:firstRowFirstColumn="0" w:firstRowLastColumn="0" w:lastRowFirstColumn="0" w:lastRowLastColumn="0"/>
              <w:rPr>
                <w:rFonts w:eastAsia="Times New Roman" w:cs="Arial"/>
                <w:sz w:val="20"/>
                <w:szCs w:val="16"/>
                <w:lang w:eastAsia="it-IT"/>
              </w:rPr>
            </w:pPr>
            <w:r w:rsidRPr="007C7CC5">
              <w:rPr>
                <w:rFonts w:eastAsia="Times New Roman" w:cs="Arial"/>
                <w:sz w:val="20"/>
                <w:szCs w:val="16"/>
                <w:lang w:eastAsia="it-IT"/>
              </w:rPr>
              <w:t>3° anno</w:t>
            </w:r>
          </w:p>
        </w:tc>
      </w:tr>
      <w:tr w:rsidR="00C748D7" w:rsidRPr="007C7CC5" w14:paraId="30A2272B" w14:textId="77777777" w:rsidTr="005B56D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382" w:type="dxa"/>
            <w:noWrap/>
          </w:tcPr>
          <w:p w14:paraId="52102199" w14:textId="77777777" w:rsidR="00C748D7" w:rsidRPr="007C7CC5" w:rsidRDefault="00C748D7" w:rsidP="005B56DE">
            <w:pPr>
              <w:rPr>
                <w:rFonts w:eastAsia="Times New Roman" w:cs="Arial"/>
                <w:color w:val="000000"/>
                <w:sz w:val="20"/>
                <w:szCs w:val="16"/>
                <w:lang w:eastAsia="it-IT"/>
              </w:rPr>
            </w:pPr>
            <w:r w:rsidRPr="007C7CC5">
              <w:rPr>
                <w:rFonts w:eastAsia="Times New Roman" w:cs="Arial"/>
                <w:color w:val="000000"/>
                <w:sz w:val="20"/>
                <w:szCs w:val="16"/>
                <w:lang w:eastAsia="it-IT"/>
              </w:rPr>
              <w:t>Fondo indennità di fine mandato del sindaco</w:t>
            </w:r>
          </w:p>
        </w:tc>
        <w:tc>
          <w:tcPr>
            <w:tcW w:w="1365" w:type="dxa"/>
            <w:noWrap/>
            <w:vAlign w:val="center"/>
          </w:tcPr>
          <w:p w14:paraId="4FE5C086" w14:textId="3D1F864F" w:rsidR="00C748D7" w:rsidRPr="007C7CC5" w:rsidRDefault="00C748D7" w:rsidP="005B56D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it-IT"/>
              </w:rPr>
            </w:pPr>
            <w:r>
              <w:rPr>
                <w:rFonts w:eastAsia="Times New Roman" w:cs="Arial"/>
                <w:color w:val="000000"/>
                <w:sz w:val="20"/>
                <w:szCs w:val="20"/>
                <w:lang w:eastAsia="it-IT"/>
              </w:rPr>
              <w:t>5.800,00</w:t>
            </w:r>
          </w:p>
        </w:tc>
        <w:tc>
          <w:tcPr>
            <w:tcW w:w="1365" w:type="dxa"/>
            <w:noWrap/>
            <w:vAlign w:val="center"/>
          </w:tcPr>
          <w:p w14:paraId="3C17BBA2" w14:textId="1756AE4A" w:rsidR="00C748D7" w:rsidRPr="007C7CC5" w:rsidRDefault="00C748D7" w:rsidP="005B56DE">
            <w:pPr>
              <w:jc w:val="righ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0,00</w:t>
            </w:r>
          </w:p>
        </w:tc>
        <w:tc>
          <w:tcPr>
            <w:tcW w:w="1391" w:type="dxa"/>
            <w:noWrap/>
            <w:vAlign w:val="center"/>
          </w:tcPr>
          <w:p w14:paraId="7585FF5A" w14:textId="77F9F09A" w:rsidR="00C748D7" w:rsidRPr="007C7CC5" w:rsidRDefault="00C748D7" w:rsidP="005B56DE">
            <w:pPr>
              <w:jc w:val="righ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0,00</w:t>
            </w:r>
          </w:p>
        </w:tc>
      </w:tr>
      <w:tr w:rsidR="00C748D7" w:rsidRPr="007C7CC5" w14:paraId="6F070C3F" w14:textId="77777777" w:rsidTr="005B56DE">
        <w:trPr>
          <w:trHeight w:val="300"/>
        </w:trPr>
        <w:tc>
          <w:tcPr>
            <w:cnfStyle w:val="001000000000" w:firstRow="0" w:lastRow="0" w:firstColumn="1" w:lastColumn="0" w:oddVBand="0" w:evenVBand="0" w:oddHBand="0" w:evenHBand="0" w:firstRowFirstColumn="0" w:firstRowLastColumn="0" w:lastRowFirstColumn="0" w:lastRowLastColumn="0"/>
            <w:tcW w:w="5382" w:type="dxa"/>
            <w:noWrap/>
          </w:tcPr>
          <w:p w14:paraId="22EDD4B1" w14:textId="77777777" w:rsidR="00C748D7" w:rsidRPr="007C7CC5" w:rsidRDefault="00C748D7" w:rsidP="00C748D7">
            <w:pPr>
              <w:rPr>
                <w:rFonts w:eastAsia="Times New Roman" w:cs="Arial"/>
                <w:color w:val="000000"/>
                <w:sz w:val="20"/>
                <w:szCs w:val="16"/>
                <w:lang w:eastAsia="it-IT"/>
              </w:rPr>
            </w:pPr>
            <w:r w:rsidRPr="007C7CC5">
              <w:rPr>
                <w:rFonts w:eastAsia="Times New Roman" w:cs="Arial"/>
                <w:color w:val="000000"/>
                <w:sz w:val="20"/>
                <w:szCs w:val="16"/>
                <w:lang w:eastAsia="it-IT"/>
              </w:rPr>
              <w:t>Fondo rinnovi contrattuali</w:t>
            </w:r>
          </w:p>
        </w:tc>
        <w:tc>
          <w:tcPr>
            <w:tcW w:w="1365" w:type="dxa"/>
            <w:noWrap/>
            <w:vAlign w:val="center"/>
          </w:tcPr>
          <w:p w14:paraId="19054AF7" w14:textId="430B46A2" w:rsidR="00C748D7" w:rsidRPr="007C7CC5" w:rsidRDefault="00C748D7" w:rsidP="00C748D7">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it-IT"/>
              </w:rPr>
            </w:pPr>
            <w:r w:rsidRPr="00C748D7">
              <w:rPr>
                <w:rFonts w:eastAsia="Times New Roman" w:cs="Arial"/>
                <w:color w:val="000000"/>
                <w:sz w:val="20"/>
                <w:szCs w:val="20"/>
                <w:lang w:eastAsia="it-IT"/>
              </w:rPr>
              <w:t>52.500,00</w:t>
            </w:r>
          </w:p>
        </w:tc>
        <w:tc>
          <w:tcPr>
            <w:tcW w:w="1365" w:type="dxa"/>
            <w:noWrap/>
            <w:vAlign w:val="center"/>
          </w:tcPr>
          <w:p w14:paraId="7B19B633" w14:textId="78C0B669" w:rsidR="00C748D7" w:rsidRPr="007C7CC5" w:rsidRDefault="00C748D7" w:rsidP="00C748D7">
            <w:pPr>
              <w:jc w:val="right"/>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0,00</w:t>
            </w:r>
          </w:p>
        </w:tc>
        <w:tc>
          <w:tcPr>
            <w:tcW w:w="1391" w:type="dxa"/>
            <w:noWrap/>
            <w:vAlign w:val="center"/>
          </w:tcPr>
          <w:p w14:paraId="246FC5E1" w14:textId="1422C751" w:rsidR="00C748D7" w:rsidRPr="007C7CC5" w:rsidRDefault="00C748D7" w:rsidP="00C748D7">
            <w:pPr>
              <w:jc w:val="right"/>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0,00</w:t>
            </w:r>
          </w:p>
        </w:tc>
      </w:tr>
      <w:tr w:rsidR="00C748D7" w:rsidRPr="007C7CC5" w14:paraId="5CB3F0E1" w14:textId="77777777" w:rsidTr="005B56D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382" w:type="dxa"/>
            <w:shd w:val="clear" w:color="auto" w:fill="F2CEED" w:themeFill="accent5" w:themeFillTint="33"/>
            <w:noWrap/>
          </w:tcPr>
          <w:p w14:paraId="17AC4809" w14:textId="77777777" w:rsidR="00C748D7" w:rsidRPr="007C7CC5" w:rsidRDefault="00C748D7" w:rsidP="005B56DE">
            <w:pPr>
              <w:jc w:val="right"/>
            </w:pPr>
            <w:r w:rsidRPr="007C7CC5">
              <w:t>TOTALE</w:t>
            </w:r>
          </w:p>
        </w:tc>
        <w:tc>
          <w:tcPr>
            <w:tcW w:w="1365" w:type="dxa"/>
            <w:shd w:val="clear" w:color="auto" w:fill="F2CEED" w:themeFill="accent5" w:themeFillTint="33"/>
            <w:noWrap/>
            <w:vAlign w:val="center"/>
          </w:tcPr>
          <w:p w14:paraId="47544E72" w14:textId="2EA5AF0C" w:rsidR="00C748D7" w:rsidRPr="007C7CC5" w:rsidRDefault="00C748D7" w:rsidP="005B56D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it-IT"/>
              </w:rPr>
            </w:pPr>
            <w:r>
              <w:rPr>
                <w:rFonts w:eastAsia="Times New Roman" w:cs="Arial"/>
                <w:color w:val="000000"/>
                <w:sz w:val="20"/>
                <w:szCs w:val="20"/>
                <w:lang w:eastAsia="it-IT"/>
              </w:rPr>
              <w:t>58.300,00</w:t>
            </w:r>
          </w:p>
        </w:tc>
        <w:tc>
          <w:tcPr>
            <w:tcW w:w="1365" w:type="dxa"/>
            <w:shd w:val="clear" w:color="auto" w:fill="F2CEED" w:themeFill="accent5" w:themeFillTint="33"/>
            <w:noWrap/>
            <w:vAlign w:val="center"/>
          </w:tcPr>
          <w:p w14:paraId="085248B4" w14:textId="23C456DF" w:rsidR="00C748D7" w:rsidRPr="007C7CC5" w:rsidRDefault="00C748D7" w:rsidP="005B56DE">
            <w:pPr>
              <w:jc w:val="righ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0,00</w:t>
            </w:r>
          </w:p>
        </w:tc>
        <w:tc>
          <w:tcPr>
            <w:tcW w:w="1391" w:type="dxa"/>
            <w:shd w:val="clear" w:color="auto" w:fill="F2CEED" w:themeFill="accent5" w:themeFillTint="33"/>
            <w:noWrap/>
            <w:vAlign w:val="center"/>
          </w:tcPr>
          <w:p w14:paraId="57BBDA56" w14:textId="74602B96" w:rsidR="00C748D7" w:rsidRPr="007C7CC5" w:rsidRDefault="00C748D7" w:rsidP="005B56DE">
            <w:pPr>
              <w:jc w:val="righ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0,00</w:t>
            </w:r>
          </w:p>
        </w:tc>
      </w:tr>
    </w:tbl>
    <w:p w14:paraId="2B98829E" w14:textId="77777777" w:rsidR="00C748D7" w:rsidRPr="007C7CC5" w:rsidRDefault="00C748D7" w:rsidP="00C748D7"/>
    <w:p w14:paraId="57C753BD" w14:textId="77777777" w:rsidR="003E5C44" w:rsidRPr="00CA77B3" w:rsidRDefault="003E5C44" w:rsidP="004B5DED">
      <w:pPr>
        <w:jc w:val="both"/>
      </w:pPr>
    </w:p>
    <w:p w14:paraId="35EA393D" w14:textId="23EE961D" w:rsidR="005D2E66" w:rsidRPr="00CA77B3" w:rsidRDefault="00E64D05" w:rsidP="000E1F9B">
      <w:pPr>
        <w:jc w:val="both"/>
      </w:pPr>
      <w:r w:rsidRPr="00E64D05">
        <w:t>Le previsioni di cassa sono state effettuate considerando la realistica possibilità di incasso e pagamento, tenendo in considerazione l’evoluzione temporale stimata delle obbligazioni che le previsioni di competenza ed i residui presunti hanno definito. Ciò anche alla luce dell’obbligo di adozione del piano dei flussi di cassa previsto dall’art. 6 del DL 155/2024.</w:t>
      </w:r>
    </w:p>
    <w:p w14:paraId="0A75B2F3" w14:textId="77777777" w:rsidR="00DD4481" w:rsidRPr="00CA77B3" w:rsidRDefault="00DD4481" w:rsidP="000E1F9B">
      <w:pPr>
        <w:jc w:val="both"/>
      </w:pPr>
    </w:p>
    <w:p w14:paraId="3135D0DC" w14:textId="578213AB" w:rsidR="00DD4481" w:rsidRPr="00CA77B3" w:rsidRDefault="00DD4481" w:rsidP="00DD4481">
      <w:pPr>
        <w:pStyle w:val="Titolo1"/>
        <w:keepNext w:val="0"/>
        <w:keepLines w:val="0"/>
        <w:widowControl w:val="0"/>
        <w:pBdr>
          <w:top w:val="single" w:sz="6" w:space="1" w:color="000000" w:shadow="1"/>
          <w:left w:val="single" w:sz="6" w:space="4" w:color="000000" w:shadow="1"/>
          <w:bottom w:val="single" w:sz="6" w:space="1" w:color="000000" w:shadow="1"/>
          <w:right w:val="single" w:sz="6" w:space="4" w:color="000000" w:shadow="1"/>
        </w:pBdr>
        <w:shd w:val="clear" w:color="auto" w:fill="B6DDE8"/>
        <w:overflowPunct w:val="0"/>
        <w:autoSpaceDE w:val="0"/>
        <w:autoSpaceDN w:val="0"/>
        <w:adjustRightInd w:val="0"/>
        <w:spacing w:before="0" w:after="360" w:line="240" w:lineRule="auto"/>
        <w:jc w:val="center"/>
        <w:rPr>
          <w:rFonts w:ascii="Times New Roman" w:eastAsia="Times New Roman" w:hAnsi="Times New Roman" w:cs="Times New Roman"/>
          <w:bCs/>
          <w:kern w:val="32"/>
          <w:sz w:val="32"/>
          <w:szCs w:val="32"/>
          <w:lang w:val="x-none" w:eastAsia="x-none"/>
        </w:rPr>
      </w:pPr>
      <w:bookmarkStart w:id="6" w:name="_Toc215130330"/>
      <w:r w:rsidRPr="00CA77B3">
        <w:rPr>
          <w:rFonts w:ascii="Times New Roman" w:eastAsia="Times New Roman" w:hAnsi="Times New Roman" w:cs="Times New Roman"/>
          <w:bCs/>
          <w:kern w:val="32"/>
          <w:sz w:val="32"/>
          <w:szCs w:val="32"/>
          <w:lang w:val="x-none" w:eastAsia="x-none"/>
        </w:rPr>
        <w:t>7. RISULTATO DI AMMINISTRAZIONE</w:t>
      </w:r>
      <w:r w:rsidR="00C41E5A">
        <w:rPr>
          <w:rFonts w:ascii="Times New Roman" w:eastAsia="Times New Roman" w:hAnsi="Times New Roman" w:cs="Times New Roman"/>
          <w:bCs/>
          <w:kern w:val="32"/>
          <w:sz w:val="32"/>
          <w:szCs w:val="32"/>
          <w:lang w:val="x-none" w:eastAsia="x-none"/>
        </w:rPr>
        <w:t xml:space="preserve"> PRESUNTO ESERCIZIO PRECEDENTE</w:t>
      </w:r>
      <w:bookmarkEnd w:id="6"/>
    </w:p>
    <w:p w14:paraId="75A2B911" w14:textId="77777777" w:rsidR="00C5530C" w:rsidRPr="00CA77B3" w:rsidRDefault="00C5530C" w:rsidP="005D2E66">
      <w:pPr>
        <w:jc w:val="center"/>
        <w:rPr>
          <w:b/>
        </w:rPr>
      </w:pPr>
    </w:p>
    <w:p w14:paraId="4733D91E" w14:textId="77777777" w:rsidR="00C41E5A" w:rsidRDefault="00C41E5A" w:rsidP="00C41E5A">
      <w:pPr>
        <w:jc w:val="both"/>
      </w:pPr>
      <w:r w:rsidRPr="00C41E5A">
        <w:t>Il prospetto dimostrativo dell’avanzo di amministrazione presunto dell’esercizio precedente è il seguente</w:t>
      </w:r>
      <w:r>
        <w:t>:</w:t>
      </w:r>
    </w:p>
    <w:p w14:paraId="16CFDB99" w14:textId="288FEF93" w:rsidR="00C41E5A" w:rsidRDefault="00831473" w:rsidP="00C41E5A">
      <w:pPr>
        <w:jc w:val="both"/>
      </w:pPr>
      <w:r>
        <w:rPr>
          <w:noProof/>
        </w:rPr>
        <w:drawing>
          <wp:inline distT="0" distB="0" distL="0" distR="0" wp14:anchorId="34E69346" wp14:editId="5D5B44D0">
            <wp:extent cx="6120130" cy="4258310"/>
            <wp:effectExtent l="0" t="0" r="0" b="8890"/>
            <wp:docPr id="1094347843" name="Immagine 1" descr="Immagine che contiene testo, schermata, numero, Parallel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347843" name="Immagine 1" descr="Immagine che contiene testo, schermata, numero, Parallelo&#10;&#10;Il contenuto generato dall'IA potrebbe non essere corretto."/>
                    <pic:cNvPicPr/>
                  </pic:nvPicPr>
                  <pic:blipFill>
                    <a:blip r:embed="rId13"/>
                    <a:stretch>
                      <a:fillRect/>
                    </a:stretch>
                  </pic:blipFill>
                  <pic:spPr>
                    <a:xfrm>
                      <a:off x="0" y="0"/>
                      <a:ext cx="6120130" cy="4258310"/>
                    </a:xfrm>
                    <a:prstGeom prst="rect">
                      <a:avLst/>
                    </a:prstGeom>
                  </pic:spPr>
                </pic:pic>
              </a:graphicData>
            </a:graphic>
          </wp:inline>
        </w:drawing>
      </w:r>
    </w:p>
    <w:p w14:paraId="718E3E38" w14:textId="26E109DD" w:rsidR="00831473" w:rsidRDefault="00831473" w:rsidP="00C41E5A">
      <w:pPr>
        <w:jc w:val="both"/>
      </w:pPr>
      <w:r>
        <w:rPr>
          <w:noProof/>
        </w:rPr>
        <w:lastRenderedPageBreak/>
        <w:drawing>
          <wp:inline distT="0" distB="0" distL="0" distR="0" wp14:anchorId="224425C0" wp14:editId="59D515BC">
            <wp:extent cx="6120130" cy="3026410"/>
            <wp:effectExtent l="0" t="0" r="0" b="2540"/>
            <wp:docPr id="112442446" name="Immagine 1" descr="Immagine che contiene testo, schermata, numero, Parallel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42446" name="Immagine 1" descr="Immagine che contiene testo, schermata, numero, Parallelo&#10;&#10;Il contenuto generato dall'IA potrebbe non essere corretto."/>
                    <pic:cNvPicPr/>
                  </pic:nvPicPr>
                  <pic:blipFill>
                    <a:blip r:embed="rId14"/>
                    <a:stretch>
                      <a:fillRect/>
                    </a:stretch>
                  </pic:blipFill>
                  <pic:spPr>
                    <a:xfrm>
                      <a:off x="0" y="0"/>
                      <a:ext cx="6120130" cy="3026410"/>
                    </a:xfrm>
                    <a:prstGeom prst="rect">
                      <a:avLst/>
                    </a:prstGeom>
                  </pic:spPr>
                </pic:pic>
              </a:graphicData>
            </a:graphic>
          </wp:inline>
        </w:drawing>
      </w:r>
    </w:p>
    <w:p w14:paraId="13729E53" w14:textId="10E90430" w:rsidR="00DD4481" w:rsidRDefault="00C41E5A" w:rsidP="00C41E5A">
      <w:pPr>
        <w:jc w:val="both"/>
      </w:pPr>
      <w:r w:rsidRPr="00C41E5A">
        <w:t xml:space="preserve"> </w:t>
      </w:r>
    </w:p>
    <w:p w14:paraId="230EB174" w14:textId="56527084" w:rsidR="0064287E" w:rsidRPr="00CA77B3" w:rsidRDefault="0064287E" w:rsidP="0064287E">
      <w:pPr>
        <w:jc w:val="center"/>
      </w:pPr>
    </w:p>
    <w:p w14:paraId="35959E9F" w14:textId="77777777" w:rsidR="00F06F6D" w:rsidRPr="00CA77B3" w:rsidRDefault="00F06F6D" w:rsidP="00DD4481">
      <w:pPr>
        <w:jc w:val="both"/>
      </w:pPr>
    </w:p>
    <w:p w14:paraId="75846DC1" w14:textId="1F27679C" w:rsidR="00FA2E28" w:rsidRDefault="00FA2E28" w:rsidP="00F06F6D">
      <w:pPr>
        <w:jc w:val="both"/>
      </w:pPr>
      <w:r w:rsidRPr="00FA2E28">
        <w:t>Al bilancio di previsione è non è stato applicato avanzo presunt</w:t>
      </w:r>
      <w:r>
        <w:t>o relativo all’esercizio 2025.</w:t>
      </w:r>
    </w:p>
    <w:p w14:paraId="0CE77C70" w14:textId="77777777" w:rsidR="0064287E" w:rsidRDefault="0064287E" w:rsidP="00F06F6D">
      <w:pPr>
        <w:jc w:val="both"/>
      </w:pPr>
    </w:p>
    <w:p w14:paraId="62E1F4E4" w14:textId="77777777" w:rsidR="0064287E" w:rsidRPr="00CA77B3" w:rsidRDefault="0064287E" w:rsidP="00F06F6D">
      <w:pPr>
        <w:jc w:val="both"/>
      </w:pPr>
    </w:p>
    <w:p w14:paraId="1D2D6BB0" w14:textId="77777777" w:rsidR="00DD4481" w:rsidRPr="00CA77B3" w:rsidRDefault="00DD4481" w:rsidP="005D2E66">
      <w:pPr>
        <w:jc w:val="center"/>
        <w:rPr>
          <w:b/>
        </w:rPr>
      </w:pPr>
    </w:p>
    <w:p w14:paraId="7EA2AE31" w14:textId="77777777" w:rsidR="005D2E66" w:rsidRPr="00CA77B3" w:rsidRDefault="007A7E3F" w:rsidP="00EA7DC8">
      <w:pPr>
        <w:pStyle w:val="Titolo1"/>
        <w:keepNext w:val="0"/>
        <w:keepLines w:val="0"/>
        <w:widowControl w:val="0"/>
        <w:pBdr>
          <w:top w:val="single" w:sz="6" w:space="1" w:color="000000" w:shadow="1"/>
          <w:left w:val="single" w:sz="6" w:space="4" w:color="000000" w:shadow="1"/>
          <w:bottom w:val="single" w:sz="6" w:space="1" w:color="000000" w:shadow="1"/>
          <w:right w:val="single" w:sz="6" w:space="4" w:color="000000" w:shadow="1"/>
        </w:pBdr>
        <w:shd w:val="clear" w:color="auto" w:fill="B6DDE8"/>
        <w:overflowPunct w:val="0"/>
        <w:autoSpaceDE w:val="0"/>
        <w:autoSpaceDN w:val="0"/>
        <w:adjustRightInd w:val="0"/>
        <w:spacing w:before="0" w:after="360" w:line="240" w:lineRule="auto"/>
        <w:jc w:val="center"/>
        <w:rPr>
          <w:rFonts w:ascii="Times New Roman" w:eastAsia="Times New Roman" w:hAnsi="Times New Roman" w:cs="Times New Roman"/>
          <w:bCs/>
          <w:kern w:val="32"/>
          <w:sz w:val="32"/>
          <w:szCs w:val="32"/>
          <w:lang w:val="x-none" w:eastAsia="x-none"/>
        </w:rPr>
      </w:pPr>
      <w:bookmarkStart w:id="7" w:name="_Toc215130331"/>
      <w:r w:rsidRPr="00CA77B3">
        <w:rPr>
          <w:rFonts w:ascii="Times New Roman" w:eastAsia="Times New Roman" w:hAnsi="Times New Roman" w:cs="Times New Roman"/>
          <w:bCs/>
          <w:kern w:val="32"/>
          <w:sz w:val="32"/>
          <w:szCs w:val="32"/>
          <w:lang w:val="x-none" w:eastAsia="x-none"/>
        </w:rPr>
        <w:t>6</w:t>
      </w:r>
      <w:r w:rsidR="000120AA" w:rsidRPr="00CA77B3">
        <w:rPr>
          <w:rFonts w:ascii="Times New Roman" w:eastAsia="Times New Roman" w:hAnsi="Times New Roman" w:cs="Times New Roman"/>
          <w:bCs/>
          <w:kern w:val="32"/>
          <w:sz w:val="32"/>
          <w:szCs w:val="32"/>
          <w:lang w:val="x-none" w:eastAsia="x-none"/>
        </w:rPr>
        <w:t xml:space="preserve">. </w:t>
      </w:r>
      <w:r w:rsidR="005D2E66" w:rsidRPr="00CA77B3">
        <w:rPr>
          <w:rFonts w:ascii="Times New Roman" w:eastAsia="Times New Roman" w:hAnsi="Times New Roman" w:cs="Times New Roman"/>
          <w:bCs/>
          <w:kern w:val="32"/>
          <w:sz w:val="32"/>
          <w:szCs w:val="32"/>
          <w:lang w:val="x-none" w:eastAsia="x-none"/>
        </w:rPr>
        <w:t>PA</w:t>
      </w:r>
      <w:r w:rsidR="00A1218E" w:rsidRPr="00CA77B3">
        <w:rPr>
          <w:rFonts w:ascii="Times New Roman" w:eastAsia="Times New Roman" w:hAnsi="Times New Roman" w:cs="Times New Roman"/>
          <w:bCs/>
          <w:kern w:val="32"/>
          <w:sz w:val="32"/>
          <w:szCs w:val="32"/>
          <w:lang w:val="x-none" w:eastAsia="x-none"/>
        </w:rPr>
        <w:t>REGGIO DI BILANCIO</w:t>
      </w:r>
      <w:bookmarkEnd w:id="7"/>
    </w:p>
    <w:p w14:paraId="42019918" w14:textId="77777777" w:rsidR="00076747" w:rsidRPr="00CA77B3" w:rsidRDefault="00076747" w:rsidP="005D2E66">
      <w:pPr>
        <w:jc w:val="both"/>
      </w:pPr>
    </w:p>
    <w:p w14:paraId="525AFAF8" w14:textId="77777777" w:rsidR="007B6315" w:rsidRPr="00CA77B3" w:rsidRDefault="007B6315" w:rsidP="005D2E66">
      <w:pPr>
        <w:jc w:val="both"/>
      </w:pPr>
      <w:r w:rsidRPr="00CA77B3">
        <w:t>L’art.28 della Legge n°448/98 e le successive modificazioni ed integrazioni normative, hanno reso</w:t>
      </w:r>
      <w:r w:rsidR="005D2E66" w:rsidRPr="00CA77B3">
        <w:t xml:space="preserve"> </w:t>
      </w:r>
      <w:r w:rsidRPr="00CA77B3">
        <w:t>partecip</w:t>
      </w:r>
      <w:r w:rsidR="005D2E66" w:rsidRPr="00CA77B3">
        <w:t>i</w:t>
      </w:r>
      <w:r w:rsidRPr="00CA77B3">
        <w:t xml:space="preserve"> gli enti locali al cosiddetto “patto di stabilità” nonché al programma di riduzione</w:t>
      </w:r>
      <w:r w:rsidR="005D2E66" w:rsidRPr="00CA77B3">
        <w:t xml:space="preserve"> </w:t>
      </w:r>
      <w:r w:rsidRPr="00CA77B3">
        <w:t>dell’indebitamento pubblico.</w:t>
      </w:r>
    </w:p>
    <w:p w14:paraId="075AE05A" w14:textId="77777777" w:rsidR="007B6315" w:rsidRPr="00CA77B3" w:rsidRDefault="007B6315" w:rsidP="000E1F9B">
      <w:pPr>
        <w:jc w:val="both"/>
      </w:pPr>
      <w:r w:rsidRPr="00CA77B3">
        <w:t>L</w:t>
      </w:r>
      <w:r w:rsidR="00DE4F88" w:rsidRPr="00CA77B3">
        <w:t>a</w:t>
      </w:r>
      <w:r w:rsidRPr="00CA77B3">
        <w:t xml:space="preserve"> Legge </w:t>
      </w:r>
      <w:r w:rsidR="005D2E66" w:rsidRPr="00CA77B3">
        <w:t>di Stabilità per il 201</w:t>
      </w:r>
      <w:r w:rsidR="00276731" w:rsidRPr="00CA77B3">
        <w:t>6</w:t>
      </w:r>
      <w:r w:rsidR="005D2E66" w:rsidRPr="00CA77B3">
        <w:t xml:space="preserve"> </w:t>
      </w:r>
      <w:r w:rsidRPr="00CA77B3">
        <w:t xml:space="preserve">ha </w:t>
      </w:r>
      <w:r w:rsidR="00276731" w:rsidRPr="00CA77B3">
        <w:t>finalmente abolito tale disciplina sostituendola con quella del pareggio di bilancio</w:t>
      </w:r>
      <w:r w:rsidR="00A1218E" w:rsidRPr="00CA77B3">
        <w:t>, che, in virtù della legge di Bilancio 2019, da tale anno coincide con il prospetto degli equilibri di bilancio già presente tra gli allegati del bilancio di previsione e del consuntivo, e ai quali si rimanda</w:t>
      </w:r>
      <w:r w:rsidR="005B45A0" w:rsidRPr="00CA77B3">
        <w:t>.</w:t>
      </w:r>
      <w:r w:rsidR="00390F47" w:rsidRPr="00CA77B3">
        <w:t xml:space="preserve"> Di conseguenza, sia l’avanzo che eventuali mutui possono far parte delle entrate rilevanti, come ormai definitivamente chiarito dal Ministero.</w:t>
      </w:r>
    </w:p>
    <w:p w14:paraId="445D9185" w14:textId="77777777" w:rsidR="005B45A0" w:rsidRPr="00CA77B3" w:rsidRDefault="005B45A0" w:rsidP="000E1F9B">
      <w:pPr>
        <w:jc w:val="both"/>
      </w:pPr>
      <w:r w:rsidRPr="00CA77B3">
        <w:t xml:space="preserve">Poiché nelle spese finali </w:t>
      </w:r>
      <w:r w:rsidR="00A1218E" w:rsidRPr="00CA77B3">
        <w:t xml:space="preserve">considerato nel prospetto </w:t>
      </w:r>
      <w:r w:rsidRPr="00CA77B3">
        <w:t>sono compresi gli accantonamenti quali il Fondo Crediti Dubbia Esigibilità, che non danno luogo ad impegni</w:t>
      </w:r>
      <w:r w:rsidR="00BA017A" w:rsidRPr="00CA77B3">
        <w:t xml:space="preserve"> e quindi alla fine non rilevano nei conteggi</w:t>
      </w:r>
      <w:r w:rsidRPr="00CA77B3">
        <w:t>, è chiaro che un bilancio come il nostro farà sempre registrare un saldo positivo fra entrate e spese finali.</w:t>
      </w:r>
    </w:p>
    <w:p w14:paraId="54A47754" w14:textId="77777777" w:rsidR="005B45A0" w:rsidRPr="00CA77B3" w:rsidRDefault="005B45A0" w:rsidP="000E1F9B">
      <w:pPr>
        <w:jc w:val="both"/>
      </w:pPr>
    </w:p>
    <w:p w14:paraId="4482AD74" w14:textId="77777777" w:rsidR="00076747" w:rsidRPr="00CA77B3" w:rsidRDefault="007A7E3F" w:rsidP="00EA7DC8">
      <w:pPr>
        <w:pStyle w:val="Titolo1"/>
        <w:keepNext w:val="0"/>
        <w:keepLines w:val="0"/>
        <w:widowControl w:val="0"/>
        <w:pBdr>
          <w:top w:val="single" w:sz="6" w:space="1" w:color="000000" w:shadow="1"/>
          <w:left w:val="single" w:sz="6" w:space="4" w:color="000000" w:shadow="1"/>
          <w:bottom w:val="single" w:sz="6" w:space="1" w:color="000000" w:shadow="1"/>
          <w:right w:val="single" w:sz="6" w:space="4" w:color="000000" w:shadow="1"/>
        </w:pBdr>
        <w:shd w:val="clear" w:color="auto" w:fill="B6DDE8"/>
        <w:overflowPunct w:val="0"/>
        <w:autoSpaceDE w:val="0"/>
        <w:autoSpaceDN w:val="0"/>
        <w:adjustRightInd w:val="0"/>
        <w:spacing w:before="0" w:after="360" w:line="240" w:lineRule="auto"/>
        <w:jc w:val="center"/>
        <w:rPr>
          <w:rFonts w:ascii="Times New Roman" w:eastAsia="Times New Roman" w:hAnsi="Times New Roman" w:cs="Times New Roman"/>
          <w:bCs/>
          <w:kern w:val="32"/>
          <w:sz w:val="32"/>
          <w:szCs w:val="32"/>
          <w:lang w:val="x-none" w:eastAsia="x-none"/>
        </w:rPr>
      </w:pPr>
      <w:bookmarkStart w:id="8" w:name="_Toc215130332"/>
      <w:r w:rsidRPr="00CA77B3">
        <w:rPr>
          <w:rFonts w:ascii="Times New Roman" w:eastAsia="Times New Roman" w:hAnsi="Times New Roman" w:cs="Times New Roman"/>
          <w:bCs/>
          <w:kern w:val="32"/>
          <w:sz w:val="32"/>
          <w:szCs w:val="32"/>
          <w:lang w:val="x-none" w:eastAsia="x-none"/>
        </w:rPr>
        <w:t>7</w:t>
      </w:r>
      <w:r w:rsidR="000120AA" w:rsidRPr="00CA77B3">
        <w:rPr>
          <w:rFonts w:ascii="Times New Roman" w:eastAsia="Times New Roman" w:hAnsi="Times New Roman" w:cs="Times New Roman"/>
          <w:bCs/>
          <w:kern w:val="32"/>
          <w:sz w:val="32"/>
          <w:szCs w:val="32"/>
          <w:lang w:val="x-none" w:eastAsia="x-none"/>
        </w:rPr>
        <w:t xml:space="preserve">. </w:t>
      </w:r>
      <w:r w:rsidR="00076747" w:rsidRPr="00CA77B3">
        <w:rPr>
          <w:rFonts w:ascii="Times New Roman" w:eastAsia="Times New Roman" w:hAnsi="Times New Roman" w:cs="Times New Roman"/>
          <w:bCs/>
          <w:kern w:val="32"/>
          <w:sz w:val="32"/>
          <w:szCs w:val="32"/>
          <w:lang w:val="x-none" w:eastAsia="x-none"/>
        </w:rPr>
        <w:t>ALTRE INFORMAZIONI OBBLIGATORIE</w:t>
      </w:r>
      <w:bookmarkEnd w:id="8"/>
    </w:p>
    <w:p w14:paraId="6445101B" w14:textId="77777777" w:rsidR="00076747" w:rsidRPr="00CA77B3" w:rsidRDefault="00076747" w:rsidP="000E1F9B">
      <w:pPr>
        <w:jc w:val="both"/>
      </w:pPr>
    </w:p>
    <w:p w14:paraId="4887DB43" w14:textId="77777777" w:rsidR="00076747" w:rsidRPr="00CA77B3" w:rsidRDefault="000120AA" w:rsidP="000E1F9B">
      <w:pPr>
        <w:jc w:val="both"/>
        <w:rPr>
          <w:i/>
        </w:rPr>
      </w:pPr>
      <w:r w:rsidRPr="00CA77B3">
        <w:rPr>
          <w:i/>
        </w:rPr>
        <w:t>a) Elenco degli  interventi per spese di investimento e relative fonti di finanziamento</w:t>
      </w:r>
      <w:r w:rsidR="0059602D" w:rsidRPr="00CA77B3">
        <w:rPr>
          <w:i/>
        </w:rPr>
        <w:t>:</w:t>
      </w:r>
    </w:p>
    <w:p w14:paraId="1EF3720F" w14:textId="77777777" w:rsidR="0054258A" w:rsidRPr="00CA77B3" w:rsidRDefault="00F603B0" w:rsidP="000E1F9B">
      <w:pPr>
        <w:jc w:val="both"/>
      </w:pPr>
      <w:r w:rsidRPr="00CA77B3">
        <w:t xml:space="preserve">L’elenco completo delle fonti di finanziamento è </w:t>
      </w:r>
      <w:r w:rsidR="009828BB" w:rsidRPr="00CA77B3">
        <w:t>il seguente:</w:t>
      </w:r>
    </w:p>
    <w:p w14:paraId="7C6B5F52" w14:textId="77777777" w:rsidR="00F603B0" w:rsidRPr="00CA77B3" w:rsidRDefault="00F603B0" w:rsidP="000E1F9B">
      <w:pPr>
        <w:jc w:val="both"/>
        <w:rPr>
          <w:i/>
        </w:rPr>
      </w:pPr>
    </w:p>
    <w:tbl>
      <w:tblPr>
        <w:tblW w:w="19220" w:type="dxa"/>
        <w:tblInd w:w="55" w:type="dxa"/>
        <w:tblCellMar>
          <w:left w:w="70" w:type="dxa"/>
          <w:right w:w="70" w:type="dxa"/>
        </w:tblCellMar>
        <w:tblLook w:val="04A0" w:firstRow="1" w:lastRow="0" w:firstColumn="1" w:lastColumn="0" w:noHBand="0" w:noVBand="1"/>
      </w:tblPr>
      <w:tblGrid>
        <w:gridCol w:w="9897"/>
        <w:gridCol w:w="912"/>
        <w:gridCol w:w="1609"/>
        <w:gridCol w:w="952"/>
        <w:gridCol w:w="319"/>
        <w:gridCol w:w="338"/>
        <w:gridCol w:w="940"/>
        <w:gridCol w:w="331"/>
        <w:gridCol w:w="1266"/>
        <w:gridCol w:w="343"/>
        <w:gridCol w:w="1254"/>
        <w:gridCol w:w="930"/>
        <w:gridCol w:w="146"/>
        <w:gridCol w:w="146"/>
        <w:gridCol w:w="146"/>
      </w:tblGrid>
      <w:tr w:rsidR="00D2488B" w:rsidRPr="00CA77B3" w14:paraId="085BB89C" w14:textId="77777777" w:rsidTr="0059794B">
        <w:trPr>
          <w:gridAfter w:val="4"/>
          <w:wAfter w:w="1368" w:type="dxa"/>
          <w:trHeight w:val="360"/>
        </w:trPr>
        <w:tc>
          <w:tcPr>
            <w:tcW w:w="17852" w:type="dxa"/>
            <w:gridSpan w:val="11"/>
            <w:tcBorders>
              <w:top w:val="nil"/>
              <w:left w:val="nil"/>
              <w:bottom w:val="nil"/>
              <w:right w:val="nil"/>
            </w:tcBorders>
            <w:noWrap/>
            <w:vAlign w:val="bottom"/>
            <w:hideMark/>
          </w:tcPr>
          <w:p w14:paraId="3E34BDA2" w14:textId="77777777" w:rsidR="00D2488B" w:rsidRPr="00CA77B3" w:rsidRDefault="00D2488B" w:rsidP="00900778">
            <w:pPr>
              <w:rPr>
                <w:b/>
                <w:bCs/>
              </w:rPr>
            </w:pPr>
            <w:r w:rsidRPr="00CA77B3">
              <w:rPr>
                <w:b/>
                <w:bCs/>
              </w:rPr>
              <w:t>ELENCO SPESE IN CONTO CAPITALE E FONTI DI FINANZIAMENTO 20</w:t>
            </w:r>
            <w:r w:rsidR="00A1218E" w:rsidRPr="00CA77B3">
              <w:rPr>
                <w:b/>
                <w:bCs/>
              </w:rPr>
              <w:t>2</w:t>
            </w:r>
            <w:r w:rsidR="00900778" w:rsidRPr="00CA77B3">
              <w:rPr>
                <w:b/>
                <w:bCs/>
              </w:rPr>
              <w:t>5</w:t>
            </w:r>
            <w:r w:rsidRPr="00CA77B3">
              <w:rPr>
                <w:b/>
                <w:bCs/>
              </w:rPr>
              <w:t>-</w:t>
            </w:r>
            <w:r w:rsidR="008E7515" w:rsidRPr="00CA77B3">
              <w:rPr>
                <w:b/>
                <w:bCs/>
              </w:rPr>
              <w:t>2</w:t>
            </w:r>
            <w:r w:rsidRPr="00CA77B3">
              <w:rPr>
                <w:b/>
                <w:bCs/>
              </w:rPr>
              <w:t>02</w:t>
            </w:r>
            <w:r w:rsidR="00900778" w:rsidRPr="00CA77B3">
              <w:rPr>
                <w:b/>
                <w:bCs/>
              </w:rPr>
              <w:t>7</w:t>
            </w:r>
          </w:p>
        </w:tc>
      </w:tr>
      <w:tr w:rsidR="00D2488B" w:rsidRPr="00CA77B3" w14:paraId="74AEB247" w14:textId="77777777" w:rsidTr="0059794B">
        <w:trPr>
          <w:gridAfter w:val="3"/>
          <w:wAfter w:w="438" w:type="dxa"/>
          <w:trHeight w:val="255"/>
        </w:trPr>
        <w:tc>
          <w:tcPr>
            <w:tcW w:w="9588" w:type="dxa"/>
            <w:tcBorders>
              <w:top w:val="nil"/>
              <w:left w:val="nil"/>
              <w:bottom w:val="nil"/>
              <w:right w:val="nil"/>
            </w:tcBorders>
            <w:noWrap/>
            <w:vAlign w:val="bottom"/>
            <w:hideMark/>
          </w:tcPr>
          <w:p w14:paraId="41C5FA76" w14:textId="77777777" w:rsidR="00D2488B" w:rsidRPr="00CA77B3" w:rsidRDefault="00D2488B" w:rsidP="00D2488B"/>
          <w:p w14:paraId="632646C6" w14:textId="77777777" w:rsidR="0059794B" w:rsidRPr="00CA77B3" w:rsidRDefault="0059794B" w:rsidP="00D2488B">
            <w:r w:rsidRPr="00CA77B3">
              <w:t>Spese</w:t>
            </w:r>
          </w:p>
          <w:p w14:paraId="30EAE1D4" w14:textId="64C8E29D" w:rsidR="0059794B" w:rsidRPr="00CA77B3" w:rsidRDefault="0059794B" w:rsidP="00D2488B"/>
        </w:tc>
        <w:tc>
          <w:tcPr>
            <w:tcW w:w="3792" w:type="dxa"/>
            <w:gridSpan w:val="4"/>
            <w:tcBorders>
              <w:top w:val="nil"/>
              <w:left w:val="nil"/>
              <w:bottom w:val="nil"/>
              <w:right w:val="nil"/>
            </w:tcBorders>
            <w:noWrap/>
            <w:vAlign w:val="bottom"/>
            <w:hideMark/>
          </w:tcPr>
          <w:p w14:paraId="3DE6551D" w14:textId="77777777" w:rsidR="00D2488B" w:rsidRPr="00CA77B3" w:rsidRDefault="00D2488B" w:rsidP="00D2488B"/>
        </w:tc>
        <w:tc>
          <w:tcPr>
            <w:tcW w:w="1609" w:type="dxa"/>
            <w:gridSpan w:val="3"/>
            <w:tcBorders>
              <w:top w:val="nil"/>
              <w:left w:val="nil"/>
              <w:bottom w:val="nil"/>
              <w:right w:val="nil"/>
            </w:tcBorders>
            <w:noWrap/>
            <w:vAlign w:val="bottom"/>
            <w:hideMark/>
          </w:tcPr>
          <w:p w14:paraId="485BFDDF" w14:textId="77777777" w:rsidR="00D2488B" w:rsidRPr="00CA77B3" w:rsidRDefault="00D2488B" w:rsidP="00D2488B">
            <w:pPr>
              <w:jc w:val="center"/>
            </w:pPr>
          </w:p>
        </w:tc>
        <w:tc>
          <w:tcPr>
            <w:tcW w:w="1609" w:type="dxa"/>
            <w:gridSpan w:val="2"/>
            <w:tcBorders>
              <w:top w:val="nil"/>
              <w:left w:val="nil"/>
              <w:bottom w:val="nil"/>
              <w:right w:val="nil"/>
            </w:tcBorders>
            <w:noWrap/>
            <w:vAlign w:val="bottom"/>
            <w:hideMark/>
          </w:tcPr>
          <w:p w14:paraId="0C2720AB" w14:textId="77777777" w:rsidR="00D2488B" w:rsidRPr="00CA77B3" w:rsidRDefault="00D2488B" w:rsidP="00D2488B">
            <w:pPr>
              <w:jc w:val="center"/>
            </w:pPr>
          </w:p>
        </w:tc>
        <w:tc>
          <w:tcPr>
            <w:tcW w:w="2184" w:type="dxa"/>
            <w:gridSpan w:val="2"/>
            <w:tcBorders>
              <w:top w:val="nil"/>
              <w:left w:val="nil"/>
              <w:bottom w:val="nil"/>
              <w:right w:val="nil"/>
            </w:tcBorders>
            <w:noWrap/>
            <w:vAlign w:val="bottom"/>
            <w:hideMark/>
          </w:tcPr>
          <w:p w14:paraId="541CECA1" w14:textId="77777777" w:rsidR="00D2488B" w:rsidRPr="00CA77B3" w:rsidRDefault="00D2488B" w:rsidP="00D2488B">
            <w:pPr>
              <w:jc w:val="center"/>
            </w:pPr>
          </w:p>
        </w:tc>
      </w:tr>
      <w:tr w:rsidR="000533AA" w:rsidRPr="00CA77B3" w14:paraId="1CE86739" w14:textId="77777777" w:rsidTr="0059794B">
        <w:trPr>
          <w:gridAfter w:val="9"/>
          <w:wAfter w:w="5502" w:type="dxa"/>
          <w:trHeight w:val="255"/>
        </w:trPr>
        <w:tc>
          <w:tcPr>
            <w:tcW w:w="10500" w:type="dxa"/>
            <w:gridSpan w:val="2"/>
            <w:tcBorders>
              <w:top w:val="nil"/>
              <w:left w:val="nil"/>
              <w:bottom w:val="nil"/>
              <w:right w:val="nil"/>
            </w:tcBorders>
            <w:noWrap/>
            <w:vAlign w:val="bottom"/>
            <w:hideMark/>
          </w:tcPr>
          <w:p w14:paraId="6CFA4D2B" w14:textId="24BCC55D" w:rsidR="000533AA" w:rsidRPr="00CA77B3" w:rsidRDefault="00447E85" w:rsidP="000533AA">
            <w:r>
              <w:object w:dxaOrig="17484" w:dyaOrig="6070" w14:anchorId="231DFC5C">
                <v:shape id="_x0000_i1027" type="#_x0000_t75" style="width:486.25pt;height:168.2pt" o:ole="">
                  <v:imagedata r:id="rId15" o:title=""/>
                </v:shape>
                <o:OLEObject Type="Embed" ProgID="Excel.Sheet.12" ShapeID="_x0000_i1027" DrawAspect="Content" ObjectID="_1826356071" r:id="rId16"/>
              </w:object>
            </w:r>
          </w:p>
        </w:tc>
        <w:tc>
          <w:tcPr>
            <w:tcW w:w="1609" w:type="dxa"/>
            <w:tcBorders>
              <w:top w:val="nil"/>
              <w:left w:val="nil"/>
              <w:bottom w:val="nil"/>
              <w:right w:val="nil"/>
            </w:tcBorders>
            <w:noWrap/>
            <w:vAlign w:val="bottom"/>
            <w:hideMark/>
          </w:tcPr>
          <w:p w14:paraId="596F62BB" w14:textId="77777777" w:rsidR="000533AA" w:rsidRPr="00CA77B3" w:rsidRDefault="000533AA" w:rsidP="00D2488B">
            <w:pPr>
              <w:jc w:val="center"/>
            </w:pPr>
          </w:p>
        </w:tc>
        <w:tc>
          <w:tcPr>
            <w:tcW w:w="1609" w:type="dxa"/>
            <w:gridSpan w:val="3"/>
            <w:tcBorders>
              <w:top w:val="nil"/>
              <w:left w:val="nil"/>
              <w:bottom w:val="nil"/>
              <w:right w:val="nil"/>
            </w:tcBorders>
            <w:noWrap/>
            <w:vAlign w:val="bottom"/>
            <w:hideMark/>
          </w:tcPr>
          <w:p w14:paraId="212B805E" w14:textId="77777777" w:rsidR="000533AA" w:rsidRPr="00CA77B3" w:rsidRDefault="000533AA" w:rsidP="00D2488B">
            <w:pPr>
              <w:jc w:val="center"/>
            </w:pPr>
          </w:p>
        </w:tc>
      </w:tr>
      <w:tr w:rsidR="000533AA" w:rsidRPr="00CA77B3" w14:paraId="6378B5F4" w14:textId="77777777" w:rsidTr="0059794B">
        <w:trPr>
          <w:trHeight w:val="360"/>
        </w:trPr>
        <w:tc>
          <w:tcPr>
            <w:tcW w:w="17852" w:type="dxa"/>
            <w:gridSpan w:val="11"/>
            <w:tcBorders>
              <w:top w:val="nil"/>
              <w:left w:val="nil"/>
              <w:bottom w:val="nil"/>
              <w:right w:val="nil"/>
            </w:tcBorders>
            <w:noWrap/>
            <w:vAlign w:val="bottom"/>
            <w:hideMark/>
          </w:tcPr>
          <w:p w14:paraId="1ACCBDB7" w14:textId="77777777" w:rsidR="000533AA" w:rsidRPr="00CA77B3" w:rsidRDefault="000533AA" w:rsidP="009828BB">
            <w:pPr>
              <w:jc w:val="center"/>
              <w:rPr>
                <w:b/>
                <w:bCs/>
              </w:rPr>
            </w:pPr>
          </w:p>
        </w:tc>
        <w:tc>
          <w:tcPr>
            <w:tcW w:w="930" w:type="dxa"/>
          </w:tcPr>
          <w:p w14:paraId="3B96DE50" w14:textId="77777777" w:rsidR="000533AA" w:rsidRPr="00CA77B3" w:rsidRDefault="000533AA"/>
        </w:tc>
        <w:tc>
          <w:tcPr>
            <w:tcW w:w="146" w:type="dxa"/>
          </w:tcPr>
          <w:p w14:paraId="25DB6BD2" w14:textId="77777777" w:rsidR="000533AA" w:rsidRPr="00CA77B3" w:rsidRDefault="000533AA"/>
        </w:tc>
        <w:tc>
          <w:tcPr>
            <w:tcW w:w="146" w:type="dxa"/>
          </w:tcPr>
          <w:p w14:paraId="6DC41913" w14:textId="77777777" w:rsidR="000533AA" w:rsidRPr="00CA77B3" w:rsidRDefault="000533AA"/>
        </w:tc>
        <w:tc>
          <w:tcPr>
            <w:tcW w:w="146" w:type="dxa"/>
            <w:tcBorders>
              <w:top w:val="nil"/>
              <w:left w:val="nil"/>
              <w:bottom w:val="nil"/>
              <w:right w:val="nil"/>
            </w:tcBorders>
            <w:vAlign w:val="bottom"/>
          </w:tcPr>
          <w:p w14:paraId="1702DA2D" w14:textId="77777777" w:rsidR="000533AA" w:rsidRPr="00CA77B3" w:rsidRDefault="000533AA" w:rsidP="009828BB"/>
        </w:tc>
      </w:tr>
      <w:tr w:rsidR="0059794B" w:rsidRPr="00CA77B3" w14:paraId="4E4BA03D" w14:textId="77777777" w:rsidTr="0059794B">
        <w:trPr>
          <w:gridAfter w:val="3"/>
          <w:wAfter w:w="438" w:type="dxa"/>
          <w:trHeight w:val="255"/>
        </w:trPr>
        <w:tc>
          <w:tcPr>
            <w:tcW w:w="9588" w:type="dxa"/>
            <w:tcBorders>
              <w:top w:val="nil"/>
              <w:left w:val="nil"/>
              <w:bottom w:val="nil"/>
              <w:right w:val="nil"/>
            </w:tcBorders>
            <w:noWrap/>
            <w:vAlign w:val="bottom"/>
            <w:hideMark/>
          </w:tcPr>
          <w:p w14:paraId="28E94807" w14:textId="77777777" w:rsidR="0059794B" w:rsidRPr="00CA77B3" w:rsidRDefault="0059794B" w:rsidP="00BE06D0">
            <w:r w:rsidRPr="00CA77B3">
              <w:t>Entrate</w:t>
            </w:r>
          </w:p>
          <w:p w14:paraId="567C2F42" w14:textId="02EA2B24" w:rsidR="0059794B" w:rsidRPr="00CA77B3" w:rsidRDefault="00447E85" w:rsidP="00BE06D0">
            <w:r>
              <w:object w:dxaOrig="17484" w:dyaOrig="6077" w14:anchorId="18715AD9">
                <v:shape id="_x0000_i1028" type="#_x0000_t75" style="width:487.9pt;height:169.25pt" o:ole="">
                  <v:imagedata r:id="rId17" o:title=""/>
                </v:shape>
                <o:OLEObject Type="Embed" ProgID="Excel.Sheet.12" ShapeID="_x0000_i1028" DrawAspect="Content" ObjectID="_1826356072" r:id="rId18"/>
              </w:object>
            </w:r>
          </w:p>
        </w:tc>
        <w:tc>
          <w:tcPr>
            <w:tcW w:w="3792" w:type="dxa"/>
            <w:gridSpan w:val="4"/>
            <w:tcBorders>
              <w:top w:val="nil"/>
              <w:left w:val="nil"/>
              <w:bottom w:val="nil"/>
              <w:right w:val="nil"/>
            </w:tcBorders>
            <w:noWrap/>
            <w:vAlign w:val="bottom"/>
            <w:hideMark/>
          </w:tcPr>
          <w:p w14:paraId="752DD6BB" w14:textId="77777777" w:rsidR="0059794B" w:rsidRPr="00CA77B3" w:rsidRDefault="0059794B" w:rsidP="00BE06D0"/>
        </w:tc>
        <w:tc>
          <w:tcPr>
            <w:tcW w:w="1609" w:type="dxa"/>
            <w:gridSpan w:val="3"/>
            <w:tcBorders>
              <w:top w:val="nil"/>
              <w:left w:val="nil"/>
              <w:bottom w:val="nil"/>
              <w:right w:val="nil"/>
            </w:tcBorders>
            <w:noWrap/>
            <w:vAlign w:val="bottom"/>
            <w:hideMark/>
          </w:tcPr>
          <w:p w14:paraId="7A93C961" w14:textId="77777777" w:rsidR="0059794B" w:rsidRPr="00CA77B3" w:rsidRDefault="0059794B" w:rsidP="00BE06D0">
            <w:pPr>
              <w:jc w:val="center"/>
            </w:pPr>
          </w:p>
        </w:tc>
        <w:tc>
          <w:tcPr>
            <w:tcW w:w="1609" w:type="dxa"/>
            <w:gridSpan w:val="2"/>
            <w:tcBorders>
              <w:top w:val="nil"/>
              <w:left w:val="nil"/>
              <w:bottom w:val="nil"/>
              <w:right w:val="nil"/>
            </w:tcBorders>
            <w:noWrap/>
            <w:vAlign w:val="bottom"/>
            <w:hideMark/>
          </w:tcPr>
          <w:p w14:paraId="12A17B69" w14:textId="77777777" w:rsidR="0059794B" w:rsidRPr="00CA77B3" w:rsidRDefault="0059794B" w:rsidP="00BE06D0">
            <w:pPr>
              <w:jc w:val="center"/>
            </w:pPr>
          </w:p>
        </w:tc>
        <w:tc>
          <w:tcPr>
            <w:tcW w:w="2184" w:type="dxa"/>
            <w:gridSpan w:val="2"/>
            <w:tcBorders>
              <w:top w:val="nil"/>
              <w:left w:val="nil"/>
              <w:bottom w:val="nil"/>
              <w:right w:val="nil"/>
            </w:tcBorders>
            <w:noWrap/>
            <w:vAlign w:val="bottom"/>
            <w:hideMark/>
          </w:tcPr>
          <w:p w14:paraId="580837A5" w14:textId="77777777" w:rsidR="0059794B" w:rsidRPr="00CA77B3" w:rsidRDefault="0059794B" w:rsidP="00BE06D0">
            <w:pPr>
              <w:jc w:val="center"/>
            </w:pPr>
          </w:p>
        </w:tc>
      </w:tr>
      <w:tr w:rsidR="000533AA" w:rsidRPr="00CA77B3" w14:paraId="49015DD7" w14:textId="77777777" w:rsidTr="0059794B">
        <w:trPr>
          <w:gridAfter w:val="4"/>
          <w:wAfter w:w="1368" w:type="dxa"/>
          <w:trHeight w:val="255"/>
        </w:trPr>
        <w:tc>
          <w:tcPr>
            <w:tcW w:w="9588" w:type="dxa"/>
            <w:tcBorders>
              <w:top w:val="nil"/>
              <w:left w:val="nil"/>
              <w:bottom w:val="nil"/>
              <w:right w:val="nil"/>
            </w:tcBorders>
            <w:noWrap/>
            <w:vAlign w:val="bottom"/>
            <w:hideMark/>
          </w:tcPr>
          <w:p w14:paraId="464F2232" w14:textId="77777777" w:rsidR="000533AA" w:rsidRPr="00CA77B3" w:rsidRDefault="000533AA" w:rsidP="009828BB"/>
        </w:tc>
        <w:tc>
          <w:tcPr>
            <w:tcW w:w="3473" w:type="dxa"/>
            <w:gridSpan w:val="3"/>
            <w:tcBorders>
              <w:top w:val="nil"/>
              <w:left w:val="nil"/>
              <w:bottom w:val="nil"/>
              <w:right w:val="nil"/>
            </w:tcBorders>
            <w:noWrap/>
            <w:vAlign w:val="bottom"/>
            <w:hideMark/>
          </w:tcPr>
          <w:p w14:paraId="64DFB06D" w14:textId="77777777" w:rsidR="000533AA" w:rsidRPr="00CA77B3" w:rsidRDefault="000533AA" w:rsidP="009828BB"/>
        </w:tc>
        <w:tc>
          <w:tcPr>
            <w:tcW w:w="1597" w:type="dxa"/>
            <w:gridSpan w:val="3"/>
            <w:tcBorders>
              <w:top w:val="nil"/>
              <w:left w:val="nil"/>
              <w:bottom w:val="nil"/>
              <w:right w:val="nil"/>
            </w:tcBorders>
            <w:noWrap/>
            <w:vAlign w:val="bottom"/>
            <w:hideMark/>
          </w:tcPr>
          <w:p w14:paraId="748044C0" w14:textId="77777777" w:rsidR="000533AA" w:rsidRPr="00CA77B3" w:rsidRDefault="000533AA" w:rsidP="009828BB"/>
        </w:tc>
        <w:tc>
          <w:tcPr>
            <w:tcW w:w="1597" w:type="dxa"/>
            <w:gridSpan w:val="2"/>
            <w:tcBorders>
              <w:top w:val="nil"/>
              <w:left w:val="nil"/>
              <w:bottom w:val="nil"/>
              <w:right w:val="nil"/>
            </w:tcBorders>
            <w:noWrap/>
            <w:vAlign w:val="bottom"/>
            <w:hideMark/>
          </w:tcPr>
          <w:p w14:paraId="77DA5CF4" w14:textId="77777777" w:rsidR="000533AA" w:rsidRPr="00CA77B3" w:rsidRDefault="000533AA" w:rsidP="009828BB"/>
        </w:tc>
        <w:tc>
          <w:tcPr>
            <w:tcW w:w="1597" w:type="dxa"/>
            <w:gridSpan w:val="2"/>
            <w:tcBorders>
              <w:top w:val="nil"/>
              <w:left w:val="nil"/>
              <w:bottom w:val="nil"/>
              <w:right w:val="nil"/>
            </w:tcBorders>
            <w:noWrap/>
            <w:vAlign w:val="bottom"/>
            <w:hideMark/>
          </w:tcPr>
          <w:p w14:paraId="0F2CE95D" w14:textId="77777777" w:rsidR="000533AA" w:rsidRPr="00CA77B3" w:rsidRDefault="000533AA" w:rsidP="009828BB">
            <w:pPr>
              <w:jc w:val="right"/>
            </w:pPr>
          </w:p>
        </w:tc>
      </w:tr>
      <w:tr w:rsidR="000533AA" w:rsidRPr="00CA77B3" w14:paraId="3DD0B346" w14:textId="77777777" w:rsidTr="0059794B">
        <w:trPr>
          <w:gridAfter w:val="4"/>
          <w:wAfter w:w="1368" w:type="dxa"/>
          <w:trHeight w:val="285"/>
        </w:trPr>
        <w:tc>
          <w:tcPr>
            <w:tcW w:w="9588" w:type="dxa"/>
            <w:tcBorders>
              <w:top w:val="nil"/>
              <w:left w:val="nil"/>
              <w:bottom w:val="nil"/>
              <w:right w:val="nil"/>
            </w:tcBorders>
            <w:noWrap/>
            <w:vAlign w:val="bottom"/>
            <w:hideMark/>
          </w:tcPr>
          <w:p w14:paraId="5479DEC4" w14:textId="4AEF048F" w:rsidR="008E09B6" w:rsidRPr="00CA77B3" w:rsidRDefault="008E09B6" w:rsidP="00E55D04">
            <w:pPr>
              <w:jc w:val="both"/>
            </w:pPr>
          </w:p>
        </w:tc>
        <w:tc>
          <w:tcPr>
            <w:tcW w:w="3473" w:type="dxa"/>
            <w:gridSpan w:val="3"/>
            <w:tcBorders>
              <w:top w:val="nil"/>
              <w:left w:val="nil"/>
              <w:bottom w:val="nil"/>
              <w:right w:val="nil"/>
            </w:tcBorders>
            <w:noWrap/>
            <w:vAlign w:val="bottom"/>
            <w:hideMark/>
          </w:tcPr>
          <w:p w14:paraId="6263E0FD" w14:textId="77777777" w:rsidR="000533AA" w:rsidRPr="00CA77B3" w:rsidRDefault="000533AA" w:rsidP="009828BB"/>
        </w:tc>
        <w:tc>
          <w:tcPr>
            <w:tcW w:w="1597" w:type="dxa"/>
            <w:gridSpan w:val="3"/>
            <w:tcBorders>
              <w:top w:val="nil"/>
              <w:left w:val="nil"/>
              <w:bottom w:val="nil"/>
              <w:right w:val="nil"/>
            </w:tcBorders>
            <w:noWrap/>
            <w:vAlign w:val="bottom"/>
            <w:hideMark/>
          </w:tcPr>
          <w:p w14:paraId="2CBB374F" w14:textId="77777777" w:rsidR="000533AA" w:rsidRPr="00CA77B3" w:rsidRDefault="000533AA" w:rsidP="009828BB">
            <w:pPr>
              <w:jc w:val="right"/>
            </w:pPr>
          </w:p>
        </w:tc>
        <w:tc>
          <w:tcPr>
            <w:tcW w:w="1597" w:type="dxa"/>
            <w:gridSpan w:val="2"/>
            <w:tcBorders>
              <w:top w:val="nil"/>
              <w:left w:val="nil"/>
              <w:bottom w:val="nil"/>
              <w:right w:val="nil"/>
            </w:tcBorders>
            <w:noWrap/>
            <w:vAlign w:val="bottom"/>
            <w:hideMark/>
          </w:tcPr>
          <w:p w14:paraId="25458CAB" w14:textId="77777777" w:rsidR="000533AA" w:rsidRPr="00CA77B3" w:rsidRDefault="000533AA" w:rsidP="009828BB">
            <w:pPr>
              <w:jc w:val="right"/>
            </w:pPr>
          </w:p>
        </w:tc>
        <w:tc>
          <w:tcPr>
            <w:tcW w:w="1597" w:type="dxa"/>
            <w:gridSpan w:val="2"/>
            <w:tcBorders>
              <w:top w:val="nil"/>
              <w:left w:val="nil"/>
              <w:bottom w:val="nil"/>
              <w:right w:val="nil"/>
            </w:tcBorders>
            <w:noWrap/>
            <w:vAlign w:val="bottom"/>
            <w:hideMark/>
          </w:tcPr>
          <w:p w14:paraId="78325415" w14:textId="77777777" w:rsidR="000533AA" w:rsidRPr="00CA77B3" w:rsidRDefault="000533AA" w:rsidP="009828BB">
            <w:pPr>
              <w:jc w:val="right"/>
            </w:pPr>
          </w:p>
        </w:tc>
      </w:tr>
    </w:tbl>
    <w:p w14:paraId="0A7A51D6" w14:textId="77777777" w:rsidR="00076747" w:rsidRPr="00CA77B3" w:rsidRDefault="000120AA" w:rsidP="000E1F9B">
      <w:pPr>
        <w:jc w:val="both"/>
        <w:rPr>
          <w:i/>
        </w:rPr>
      </w:pPr>
      <w:r w:rsidRPr="00CA77B3">
        <w:rPr>
          <w:i/>
        </w:rPr>
        <w:t>b) Elenco delle garanzie prestate dall’ente in favore di altri soggetti</w:t>
      </w:r>
      <w:r w:rsidR="0059602D" w:rsidRPr="00CA77B3">
        <w:rPr>
          <w:i/>
        </w:rPr>
        <w:t>:</w:t>
      </w:r>
    </w:p>
    <w:p w14:paraId="11A22436" w14:textId="104602AD" w:rsidR="00F2007C" w:rsidRPr="00CA77B3" w:rsidRDefault="00F2007C" w:rsidP="000E1F9B">
      <w:pPr>
        <w:jc w:val="both"/>
      </w:pPr>
      <w:r w:rsidRPr="00CA77B3">
        <w:t xml:space="preserve">- </w:t>
      </w:r>
      <w:r w:rsidR="000148C8" w:rsidRPr="00CA77B3">
        <w:t>L’Ente non ha rilasciato garanzie principali o sussidiarie a favore di enti o terzi soggetti.</w:t>
      </w:r>
    </w:p>
    <w:p w14:paraId="1453D834" w14:textId="77777777" w:rsidR="000120AA" w:rsidRPr="00CA77B3" w:rsidRDefault="000120AA" w:rsidP="000E1F9B">
      <w:pPr>
        <w:jc w:val="both"/>
      </w:pPr>
    </w:p>
    <w:p w14:paraId="6F99F949" w14:textId="77777777" w:rsidR="000120AA" w:rsidRPr="00CA77B3" w:rsidRDefault="000120AA" w:rsidP="000E1F9B">
      <w:pPr>
        <w:jc w:val="both"/>
        <w:rPr>
          <w:i/>
        </w:rPr>
      </w:pPr>
      <w:r w:rsidRPr="00CA77B3">
        <w:rPr>
          <w:i/>
        </w:rPr>
        <w:t>c) E</w:t>
      </w:r>
      <w:r w:rsidR="0059602D" w:rsidRPr="00CA77B3">
        <w:rPr>
          <w:i/>
        </w:rPr>
        <w:t>le</w:t>
      </w:r>
      <w:r w:rsidRPr="00CA77B3">
        <w:rPr>
          <w:i/>
        </w:rPr>
        <w:t>nco dei propri enti strumentali (i relativi bilanci sono consultabili sul sito Internet del Comune)</w:t>
      </w:r>
      <w:r w:rsidR="0059602D" w:rsidRPr="00CA77B3">
        <w:rPr>
          <w:i/>
        </w:rPr>
        <w:t>:</w:t>
      </w:r>
    </w:p>
    <w:p w14:paraId="00FD60C8" w14:textId="4270F1B7" w:rsidR="0059602D" w:rsidRPr="00CA77B3" w:rsidRDefault="0059602D" w:rsidP="000E1F9B">
      <w:pPr>
        <w:jc w:val="both"/>
      </w:pPr>
      <w:r w:rsidRPr="00CA77B3">
        <w:t xml:space="preserve">- </w:t>
      </w:r>
      <w:r w:rsidR="00CE528A" w:rsidRPr="00CA77B3">
        <w:t>non presenti nella compagine societaria del Comune di Assago</w:t>
      </w:r>
    </w:p>
    <w:p w14:paraId="1376847E" w14:textId="77777777" w:rsidR="0059602D" w:rsidRPr="00CA77B3" w:rsidRDefault="0059602D" w:rsidP="000E1F9B">
      <w:pPr>
        <w:jc w:val="both"/>
      </w:pPr>
    </w:p>
    <w:p w14:paraId="6B232CED" w14:textId="02E8FD80" w:rsidR="0098382E" w:rsidRDefault="0059602D" w:rsidP="000E1F9B">
      <w:pPr>
        <w:jc w:val="both"/>
        <w:rPr>
          <w:i/>
        </w:rPr>
      </w:pPr>
      <w:r w:rsidRPr="00CA77B3">
        <w:rPr>
          <w:i/>
        </w:rPr>
        <w:t>d) Elenco delle partecipazioni possedute</w:t>
      </w:r>
      <w:r w:rsidR="00CE528A" w:rsidRPr="00CA77B3">
        <w:rPr>
          <w:i/>
        </w:rPr>
        <w:t xml:space="preserve"> (esclusi gli enti strumentali)</w:t>
      </w:r>
      <w:r w:rsidRPr="00CA77B3">
        <w:rPr>
          <w:i/>
        </w:rPr>
        <w:t>:</w:t>
      </w:r>
    </w:p>
    <w:p w14:paraId="2CD9330C" w14:textId="534E1FAC" w:rsidR="0098382E" w:rsidRDefault="0098382E" w:rsidP="000E1F9B">
      <w:pPr>
        <w:jc w:val="both"/>
        <w:rPr>
          <w:iCs/>
        </w:rPr>
      </w:pPr>
      <w:r w:rsidRPr="0098382E">
        <w:rPr>
          <w:iCs/>
        </w:rPr>
        <w:t>Le partecipazioni possedute dall’ente in enti/organismi strumentali ovvero in società partecipate sono le seguenti:</w:t>
      </w:r>
    </w:p>
    <w:p w14:paraId="3E551C79" w14:textId="77777777" w:rsidR="00DA2033" w:rsidRDefault="00DA2033" w:rsidP="000E1F9B">
      <w:pPr>
        <w:jc w:val="both"/>
        <w:rPr>
          <w:iCs/>
        </w:rPr>
      </w:pPr>
    </w:p>
    <w:tbl>
      <w:tblPr>
        <w:tblW w:w="9771" w:type="dxa"/>
        <w:jc w:val="center"/>
        <w:tblBorders>
          <w:top w:val="single" w:sz="8" w:space="0" w:color="002060"/>
          <w:left w:val="single" w:sz="8" w:space="0" w:color="002060"/>
          <w:bottom w:val="single" w:sz="8" w:space="0" w:color="002060"/>
          <w:right w:val="single" w:sz="8" w:space="0" w:color="002060"/>
          <w:insideH w:val="single" w:sz="8" w:space="0" w:color="002060"/>
          <w:insideV w:val="single" w:sz="8" w:space="0" w:color="002060"/>
        </w:tblBorders>
        <w:tblLayout w:type="fixed"/>
        <w:tblCellMar>
          <w:left w:w="10" w:type="dxa"/>
          <w:right w:w="10" w:type="dxa"/>
        </w:tblCellMar>
        <w:tblLook w:val="0000" w:firstRow="0" w:lastRow="0" w:firstColumn="0" w:lastColumn="0" w:noHBand="0" w:noVBand="0"/>
      </w:tblPr>
      <w:tblGrid>
        <w:gridCol w:w="1598"/>
        <w:gridCol w:w="2268"/>
        <w:gridCol w:w="2693"/>
        <w:gridCol w:w="1276"/>
        <w:gridCol w:w="1936"/>
      </w:tblGrid>
      <w:tr w:rsidR="0098382E" w:rsidRPr="007C7CC5" w14:paraId="37C15B74" w14:textId="77777777" w:rsidTr="005B56DE">
        <w:trPr>
          <w:jc w:val="center"/>
        </w:trPr>
        <w:tc>
          <w:tcPr>
            <w:tcW w:w="1598" w:type="dxa"/>
            <w:shd w:val="clear" w:color="auto" w:fill="A0D1FF"/>
            <w:tcMar>
              <w:top w:w="28" w:type="dxa"/>
              <w:left w:w="28" w:type="dxa"/>
              <w:bottom w:w="28" w:type="dxa"/>
              <w:right w:w="0" w:type="dxa"/>
            </w:tcMar>
            <w:vAlign w:val="center"/>
          </w:tcPr>
          <w:p w14:paraId="311C7B5C" w14:textId="77777777" w:rsidR="0098382E" w:rsidRPr="007C7CC5" w:rsidRDefault="0098382E" w:rsidP="005B56DE">
            <w:pPr>
              <w:pStyle w:val="Nessunaspaziatura"/>
              <w:jc w:val="center"/>
              <w:rPr>
                <w:rFonts w:ascii="Aptos" w:hAnsi="Aptos" w:cstheme="minorHAnsi"/>
                <w:b/>
                <w:bCs/>
                <w:color w:val="0A2F41" w:themeColor="accent1" w:themeShade="80"/>
                <w:sz w:val="18"/>
                <w:szCs w:val="18"/>
              </w:rPr>
            </w:pPr>
            <w:r w:rsidRPr="007C7CC5">
              <w:rPr>
                <w:rFonts w:ascii="Aptos" w:hAnsi="Aptos" w:cstheme="minorHAnsi"/>
                <w:b/>
                <w:bCs/>
                <w:color w:val="0A2F41" w:themeColor="accent1" w:themeShade="80"/>
                <w:sz w:val="18"/>
                <w:szCs w:val="18"/>
              </w:rPr>
              <w:t>Tipo di partecipazione</w:t>
            </w:r>
          </w:p>
        </w:tc>
        <w:tc>
          <w:tcPr>
            <w:tcW w:w="2268" w:type="dxa"/>
            <w:shd w:val="clear" w:color="auto" w:fill="A0D1FF"/>
            <w:tcMar>
              <w:top w:w="28" w:type="dxa"/>
              <w:left w:w="28" w:type="dxa"/>
              <w:bottom w:w="28" w:type="dxa"/>
              <w:right w:w="0" w:type="dxa"/>
            </w:tcMar>
            <w:vAlign w:val="center"/>
          </w:tcPr>
          <w:p w14:paraId="2CB54513" w14:textId="77777777" w:rsidR="0098382E" w:rsidRPr="007C7CC5" w:rsidRDefault="0098382E" w:rsidP="005B56DE">
            <w:pPr>
              <w:pStyle w:val="Nessunaspaziatura"/>
              <w:jc w:val="center"/>
              <w:rPr>
                <w:rFonts w:ascii="Aptos" w:hAnsi="Aptos" w:cstheme="minorHAnsi"/>
                <w:b/>
                <w:bCs/>
                <w:color w:val="0A2F41" w:themeColor="accent1" w:themeShade="80"/>
                <w:sz w:val="18"/>
                <w:szCs w:val="18"/>
              </w:rPr>
            </w:pPr>
            <w:r>
              <w:rPr>
                <w:rFonts w:ascii="Aptos" w:hAnsi="Aptos" w:cstheme="minorHAnsi"/>
                <w:b/>
                <w:bCs/>
                <w:color w:val="0A2F41" w:themeColor="accent1" w:themeShade="80"/>
                <w:sz w:val="18"/>
                <w:szCs w:val="18"/>
              </w:rPr>
              <w:t>Ente/</w:t>
            </w:r>
            <w:r w:rsidRPr="007C7CC5">
              <w:rPr>
                <w:rFonts w:ascii="Aptos" w:hAnsi="Aptos" w:cstheme="minorHAnsi"/>
                <w:b/>
                <w:bCs/>
                <w:color w:val="0A2F41" w:themeColor="accent1" w:themeShade="80"/>
                <w:sz w:val="18"/>
                <w:szCs w:val="18"/>
              </w:rPr>
              <w:t>Società</w:t>
            </w:r>
          </w:p>
        </w:tc>
        <w:tc>
          <w:tcPr>
            <w:tcW w:w="2693" w:type="dxa"/>
            <w:shd w:val="clear" w:color="auto" w:fill="A0D1FF"/>
            <w:tcMar>
              <w:top w:w="28" w:type="dxa"/>
              <w:left w:w="28" w:type="dxa"/>
              <w:bottom w:w="28" w:type="dxa"/>
              <w:right w:w="0" w:type="dxa"/>
            </w:tcMar>
            <w:vAlign w:val="center"/>
          </w:tcPr>
          <w:p w14:paraId="4127BCC6" w14:textId="77777777" w:rsidR="0098382E" w:rsidRPr="007C7CC5" w:rsidRDefault="0098382E" w:rsidP="005B56DE">
            <w:pPr>
              <w:pStyle w:val="Nessunaspaziatura"/>
              <w:jc w:val="center"/>
              <w:rPr>
                <w:rFonts w:ascii="Aptos" w:hAnsi="Aptos" w:cstheme="minorHAnsi"/>
                <w:b/>
                <w:bCs/>
                <w:color w:val="0A2F41" w:themeColor="accent1" w:themeShade="80"/>
                <w:sz w:val="18"/>
                <w:szCs w:val="18"/>
              </w:rPr>
            </w:pPr>
            <w:r w:rsidRPr="007C7CC5">
              <w:rPr>
                <w:rFonts w:ascii="Aptos" w:hAnsi="Aptos" w:cstheme="minorHAnsi"/>
                <w:b/>
                <w:bCs/>
                <w:color w:val="0A2F41" w:themeColor="accent1" w:themeShade="80"/>
                <w:sz w:val="18"/>
                <w:szCs w:val="18"/>
              </w:rPr>
              <w:t>Descrizione</w:t>
            </w:r>
          </w:p>
        </w:tc>
        <w:tc>
          <w:tcPr>
            <w:tcW w:w="1276" w:type="dxa"/>
            <w:shd w:val="clear" w:color="auto" w:fill="A0D1FF"/>
            <w:tcMar>
              <w:top w:w="28" w:type="dxa"/>
              <w:left w:w="28" w:type="dxa"/>
              <w:bottom w:w="28" w:type="dxa"/>
              <w:right w:w="0" w:type="dxa"/>
            </w:tcMar>
            <w:vAlign w:val="center"/>
          </w:tcPr>
          <w:p w14:paraId="2C81CDB9" w14:textId="77777777" w:rsidR="0098382E" w:rsidRPr="007C7CC5" w:rsidRDefault="0098382E" w:rsidP="005B56DE">
            <w:pPr>
              <w:pStyle w:val="Nessunaspaziatura"/>
              <w:jc w:val="center"/>
              <w:rPr>
                <w:rFonts w:ascii="Aptos" w:hAnsi="Aptos" w:cstheme="minorHAnsi"/>
                <w:b/>
                <w:bCs/>
                <w:color w:val="0A2F41" w:themeColor="accent1" w:themeShade="80"/>
                <w:sz w:val="18"/>
                <w:szCs w:val="18"/>
              </w:rPr>
            </w:pPr>
            <w:r w:rsidRPr="007C7CC5">
              <w:rPr>
                <w:rFonts w:ascii="Aptos" w:hAnsi="Aptos" w:cstheme="minorHAnsi"/>
                <w:b/>
                <w:bCs/>
                <w:color w:val="0A2F41" w:themeColor="accent1" w:themeShade="80"/>
                <w:sz w:val="18"/>
                <w:szCs w:val="18"/>
              </w:rPr>
              <w:t>Percentuale di partecipazione</w:t>
            </w:r>
          </w:p>
        </w:tc>
        <w:tc>
          <w:tcPr>
            <w:tcW w:w="1936" w:type="dxa"/>
            <w:shd w:val="clear" w:color="auto" w:fill="A0D1FF"/>
            <w:tcMar>
              <w:top w:w="28" w:type="dxa"/>
              <w:left w:w="28" w:type="dxa"/>
              <w:bottom w:w="28" w:type="dxa"/>
              <w:right w:w="28" w:type="dxa"/>
            </w:tcMar>
            <w:vAlign w:val="center"/>
          </w:tcPr>
          <w:p w14:paraId="0ABE0B3A" w14:textId="77777777" w:rsidR="0098382E" w:rsidRPr="007C7CC5" w:rsidRDefault="0098382E" w:rsidP="005B56DE">
            <w:pPr>
              <w:pStyle w:val="Nessunaspaziatura"/>
              <w:jc w:val="center"/>
              <w:rPr>
                <w:rFonts w:ascii="Aptos" w:hAnsi="Aptos" w:cstheme="minorHAnsi"/>
                <w:b/>
                <w:bCs/>
                <w:color w:val="0A2F41" w:themeColor="accent1" w:themeShade="80"/>
                <w:sz w:val="18"/>
                <w:szCs w:val="18"/>
              </w:rPr>
            </w:pPr>
            <w:r w:rsidRPr="007C7CC5">
              <w:rPr>
                <w:rFonts w:ascii="Aptos" w:hAnsi="Aptos" w:cstheme="minorHAnsi"/>
                <w:b/>
                <w:bCs/>
                <w:color w:val="0A2F41" w:themeColor="accent1" w:themeShade="80"/>
                <w:sz w:val="18"/>
                <w:szCs w:val="18"/>
              </w:rPr>
              <w:t>Sito internet</w:t>
            </w:r>
          </w:p>
        </w:tc>
      </w:tr>
      <w:tr w:rsidR="0098382E" w:rsidRPr="007C7CC5" w14:paraId="19927063" w14:textId="77777777" w:rsidTr="005B56DE">
        <w:trPr>
          <w:jc w:val="center"/>
        </w:trPr>
        <w:tc>
          <w:tcPr>
            <w:tcW w:w="1598" w:type="dxa"/>
            <w:tcMar>
              <w:top w:w="0" w:type="dxa"/>
              <w:left w:w="28" w:type="dxa"/>
              <w:bottom w:w="28" w:type="dxa"/>
              <w:right w:w="0" w:type="dxa"/>
            </w:tcMar>
            <w:vAlign w:val="center"/>
          </w:tcPr>
          <w:p w14:paraId="0FDE5180" w14:textId="61CF380A" w:rsidR="0098382E" w:rsidRPr="009805DA" w:rsidRDefault="009805DA" w:rsidP="009805DA">
            <w:pPr>
              <w:pStyle w:val="Nessunaspaziatura"/>
              <w:jc w:val="center"/>
            </w:pPr>
            <w:r w:rsidRPr="009805DA">
              <w:t>Diretta</w:t>
            </w:r>
          </w:p>
        </w:tc>
        <w:tc>
          <w:tcPr>
            <w:tcW w:w="2268" w:type="dxa"/>
            <w:tcMar>
              <w:top w:w="0" w:type="dxa"/>
              <w:left w:w="28" w:type="dxa"/>
              <w:bottom w:w="28" w:type="dxa"/>
              <w:right w:w="0" w:type="dxa"/>
            </w:tcMar>
            <w:vAlign w:val="center"/>
          </w:tcPr>
          <w:p w14:paraId="5EE9659A" w14:textId="144B16B2" w:rsidR="0098382E" w:rsidRPr="007C7CC5" w:rsidRDefault="0098382E" w:rsidP="0098382E">
            <w:pPr>
              <w:pStyle w:val="Nessunaspaziatura"/>
              <w:jc w:val="both"/>
              <w:rPr>
                <w:rFonts w:ascii="Aptos" w:hAnsi="Aptos" w:cstheme="minorHAnsi"/>
                <w:sz w:val="18"/>
                <w:szCs w:val="18"/>
              </w:rPr>
            </w:pPr>
            <w:r w:rsidRPr="00CA77B3">
              <w:t>CAP Holding spa</w:t>
            </w:r>
          </w:p>
        </w:tc>
        <w:tc>
          <w:tcPr>
            <w:tcW w:w="2693" w:type="dxa"/>
            <w:tcMar>
              <w:top w:w="0" w:type="dxa"/>
              <w:left w:w="28" w:type="dxa"/>
              <w:bottom w:w="28" w:type="dxa"/>
              <w:right w:w="0" w:type="dxa"/>
            </w:tcMar>
            <w:vAlign w:val="center"/>
          </w:tcPr>
          <w:p w14:paraId="3AEBB770" w14:textId="0660CB1F" w:rsidR="0098382E" w:rsidRPr="007C7CC5" w:rsidRDefault="009805DA" w:rsidP="00207AC1">
            <w:pPr>
              <w:pStyle w:val="Nessunaspaziatura"/>
              <w:rPr>
                <w:rFonts w:ascii="Aptos" w:hAnsi="Aptos" w:cstheme="minorHAnsi"/>
                <w:sz w:val="18"/>
                <w:szCs w:val="18"/>
              </w:rPr>
            </w:pPr>
            <w:r w:rsidRPr="009805DA">
              <w:t>Società partecipata</w:t>
            </w:r>
          </w:p>
        </w:tc>
        <w:tc>
          <w:tcPr>
            <w:tcW w:w="1276" w:type="dxa"/>
            <w:tcMar>
              <w:top w:w="0" w:type="dxa"/>
              <w:left w:w="28" w:type="dxa"/>
              <w:bottom w:w="28" w:type="dxa"/>
              <w:right w:w="0" w:type="dxa"/>
            </w:tcMar>
            <w:vAlign w:val="center"/>
          </w:tcPr>
          <w:p w14:paraId="7FE90C24" w14:textId="60F7B880" w:rsidR="0098382E" w:rsidRPr="007C7CC5" w:rsidRDefault="0098382E" w:rsidP="0098382E">
            <w:pPr>
              <w:pStyle w:val="Nessunaspaziatura"/>
              <w:jc w:val="center"/>
              <w:rPr>
                <w:rFonts w:ascii="Aptos" w:hAnsi="Aptos" w:cstheme="minorHAnsi"/>
                <w:sz w:val="18"/>
                <w:szCs w:val="18"/>
              </w:rPr>
            </w:pPr>
            <w:r w:rsidRPr="00CA77B3">
              <w:t>0,45%</w:t>
            </w:r>
          </w:p>
        </w:tc>
        <w:tc>
          <w:tcPr>
            <w:tcW w:w="1936" w:type="dxa"/>
            <w:tcMar>
              <w:top w:w="0" w:type="dxa"/>
              <w:left w:w="28" w:type="dxa"/>
              <w:bottom w:w="28" w:type="dxa"/>
              <w:right w:w="28" w:type="dxa"/>
            </w:tcMar>
            <w:vAlign w:val="center"/>
          </w:tcPr>
          <w:p w14:paraId="2A83B3B8" w14:textId="44FBAE94" w:rsidR="00D21D4E" w:rsidRPr="007C7CC5" w:rsidRDefault="00D21D4E" w:rsidP="00D21D4E">
            <w:pPr>
              <w:pStyle w:val="Nessunaspaziatura"/>
              <w:jc w:val="both"/>
              <w:rPr>
                <w:rFonts w:ascii="Aptos" w:hAnsi="Aptos" w:cstheme="minorHAnsi"/>
                <w:sz w:val="18"/>
                <w:szCs w:val="18"/>
              </w:rPr>
            </w:pPr>
            <w:hyperlink r:id="rId19" w:history="1">
              <w:r w:rsidRPr="00BB64C6">
                <w:rPr>
                  <w:rStyle w:val="Collegamentoipertestuale"/>
                  <w:rFonts w:ascii="Aptos" w:hAnsi="Aptos" w:cstheme="minorHAnsi"/>
                  <w:sz w:val="18"/>
                  <w:szCs w:val="18"/>
                </w:rPr>
                <w:t>https://www.gruppocap.it/</w:t>
              </w:r>
            </w:hyperlink>
          </w:p>
        </w:tc>
      </w:tr>
      <w:tr w:rsidR="009805DA" w:rsidRPr="007C7CC5" w14:paraId="0F787DB1" w14:textId="77777777" w:rsidTr="00A060C9">
        <w:trPr>
          <w:jc w:val="center"/>
        </w:trPr>
        <w:tc>
          <w:tcPr>
            <w:tcW w:w="1598" w:type="dxa"/>
            <w:tcMar>
              <w:top w:w="0" w:type="dxa"/>
              <w:left w:w="28" w:type="dxa"/>
              <w:bottom w:w="28" w:type="dxa"/>
              <w:right w:w="0" w:type="dxa"/>
            </w:tcMar>
          </w:tcPr>
          <w:p w14:paraId="21EE57F0" w14:textId="45D2C978" w:rsidR="009805DA" w:rsidRPr="009805DA" w:rsidRDefault="009805DA" w:rsidP="009805DA">
            <w:pPr>
              <w:pStyle w:val="Nessunaspaziatura"/>
              <w:jc w:val="center"/>
            </w:pPr>
            <w:r w:rsidRPr="009805DA">
              <w:t>Diretta</w:t>
            </w:r>
          </w:p>
        </w:tc>
        <w:tc>
          <w:tcPr>
            <w:tcW w:w="2268" w:type="dxa"/>
            <w:tcMar>
              <w:top w:w="0" w:type="dxa"/>
              <w:left w:w="28" w:type="dxa"/>
              <w:bottom w:w="28" w:type="dxa"/>
              <w:right w:w="0" w:type="dxa"/>
            </w:tcMar>
            <w:vAlign w:val="center"/>
          </w:tcPr>
          <w:p w14:paraId="4FB06116" w14:textId="4E766032" w:rsidR="009805DA" w:rsidRPr="007C7CC5" w:rsidRDefault="009805DA" w:rsidP="009805DA">
            <w:pPr>
              <w:pStyle w:val="Nessunaspaziatura"/>
              <w:jc w:val="both"/>
              <w:rPr>
                <w:rFonts w:ascii="Aptos" w:hAnsi="Aptos" w:cstheme="minorHAnsi"/>
                <w:sz w:val="18"/>
                <w:szCs w:val="18"/>
              </w:rPr>
            </w:pPr>
            <w:r w:rsidRPr="00CA77B3">
              <w:t>Farmacia Assago Milanofiori S.r.l.</w:t>
            </w:r>
          </w:p>
        </w:tc>
        <w:tc>
          <w:tcPr>
            <w:tcW w:w="2693" w:type="dxa"/>
            <w:tcMar>
              <w:top w:w="0" w:type="dxa"/>
              <w:left w:w="28" w:type="dxa"/>
              <w:bottom w:w="28" w:type="dxa"/>
              <w:right w:w="0" w:type="dxa"/>
            </w:tcMar>
            <w:vAlign w:val="center"/>
          </w:tcPr>
          <w:p w14:paraId="3C896D19" w14:textId="2530DB28" w:rsidR="009805DA" w:rsidRPr="007C7CC5" w:rsidRDefault="009805DA" w:rsidP="009805DA">
            <w:pPr>
              <w:pStyle w:val="Nessunaspaziatura"/>
              <w:jc w:val="both"/>
              <w:rPr>
                <w:rFonts w:ascii="Aptos" w:hAnsi="Aptos" w:cstheme="minorHAnsi"/>
                <w:sz w:val="18"/>
                <w:szCs w:val="18"/>
              </w:rPr>
            </w:pPr>
            <w:r w:rsidRPr="009805DA">
              <w:t xml:space="preserve">Società </w:t>
            </w:r>
            <w:r>
              <w:t>controllata direttamente</w:t>
            </w:r>
          </w:p>
        </w:tc>
        <w:tc>
          <w:tcPr>
            <w:tcW w:w="1276" w:type="dxa"/>
            <w:tcMar>
              <w:top w:w="0" w:type="dxa"/>
              <w:left w:w="28" w:type="dxa"/>
              <w:bottom w:w="28" w:type="dxa"/>
              <w:right w:w="0" w:type="dxa"/>
            </w:tcMar>
            <w:vAlign w:val="center"/>
          </w:tcPr>
          <w:p w14:paraId="6127AEE4" w14:textId="77777777" w:rsidR="009805DA" w:rsidRPr="00CA77B3" w:rsidRDefault="009805DA" w:rsidP="009805DA">
            <w:pPr>
              <w:pStyle w:val="Nessunaspaziatura"/>
              <w:jc w:val="center"/>
            </w:pPr>
            <w:r w:rsidRPr="00CA77B3">
              <w:t>5</w:t>
            </w:r>
            <w:r w:rsidRPr="0098382E">
              <w:t>1%</w:t>
            </w:r>
          </w:p>
          <w:p w14:paraId="7F2B2554" w14:textId="77777777" w:rsidR="009805DA" w:rsidRPr="007C7CC5" w:rsidRDefault="009805DA" w:rsidP="009805DA">
            <w:pPr>
              <w:pStyle w:val="Nessunaspaziatura"/>
              <w:jc w:val="center"/>
              <w:rPr>
                <w:rFonts w:ascii="Aptos" w:hAnsi="Aptos" w:cstheme="minorHAnsi"/>
                <w:sz w:val="18"/>
                <w:szCs w:val="18"/>
              </w:rPr>
            </w:pPr>
          </w:p>
        </w:tc>
        <w:tc>
          <w:tcPr>
            <w:tcW w:w="1936" w:type="dxa"/>
            <w:tcMar>
              <w:top w:w="0" w:type="dxa"/>
              <w:left w:w="28" w:type="dxa"/>
              <w:bottom w:w="28" w:type="dxa"/>
              <w:right w:w="28" w:type="dxa"/>
            </w:tcMar>
            <w:vAlign w:val="center"/>
          </w:tcPr>
          <w:p w14:paraId="35441222" w14:textId="3B8DB91C" w:rsidR="00D21D4E" w:rsidRPr="007C7CC5" w:rsidRDefault="00D21D4E" w:rsidP="00D21D4E">
            <w:pPr>
              <w:pStyle w:val="Nessunaspaziatura"/>
              <w:jc w:val="both"/>
              <w:rPr>
                <w:rFonts w:ascii="Aptos" w:hAnsi="Aptos" w:cstheme="minorHAnsi"/>
                <w:sz w:val="18"/>
                <w:szCs w:val="18"/>
              </w:rPr>
            </w:pPr>
            <w:hyperlink r:id="rId20" w:history="1">
              <w:r w:rsidRPr="00BB64C6">
                <w:rPr>
                  <w:rStyle w:val="Collegamentoipertestuale"/>
                  <w:rFonts w:ascii="Aptos" w:hAnsi="Aptos" w:cstheme="minorHAnsi"/>
                  <w:sz w:val="18"/>
                  <w:szCs w:val="18"/>
                </w:rPr>
                <w:t>https://www.farmaciamilanofiori.it/</w:t>
              </w:r>
            </w:hyperlink>
          </w:p>
        </w:tc>
      </w:tr>
      <w:tr w:rsidR="009805DA" w:rsidRPr="007C7CC5" w14:paraId="4292FC45" w14:textId="77777777" w:rsidTr="00A060C9">
        <w:trPr>
          <w:jc w:val="center"/>
        </w:trPr>
        <w:tc>
          <w:tcPr>
            <w:tcW w:w="1598" w:type="dxa"/>
            <w:tcMar>
              <w:top w:w="0" w:type="dxa"/>
              <w:left w:w="28" w:type="dxa"/>
              <w:bottom w:w="28" w:type="dxa"/>
              <w:right w:w="0" w:type="dxa"/>
            </w:tcMar>
          </w:tcPr>
          <w:p w14:paraId="1C7AB2E3" w14:textId="4287DB68" w:rsidR="009805DA" w:rsidRPr="009805DA" w:rsidRDefault="009805DA" w:rsidP="009805DA">
            <w:pPr>
              <w:pStyle w:val="Nessunaspaziatura"/>
              <w:jc w:val="center"/>
            </w:pPr>
            <w:r w:rsidRPr="009805DA">
              <w:t>Diretta</w:t>
            </w:r>
          </w:p>
        </w:tc>
        <w:tc>
          <w:tcPr>
            <w:tcW w:w="2268" w:type="dxa"/>
            <w:tcMar>
              <w:top w:w="0" w:type="dxa"/>
              <w:left w:w="28" w:type="dxa"/>
              <w:bottom w:w="28" w:type="dxa"/>
              <w:right w:w="0" w:type="dxa"/>
            </w:tcMar>
            <w:vAlign w:val="center"/>
          </w:tcPr>
          <w:p w14:paraId="2A2D8229" w14:textId="7F5EB04C" w:rsidR="009805DA" w:rsidRPr="007C7CC5" w:rsidRDefault="009805DA" w:rsidP="009805DA">
            <w:pPr>
              <w:pStyle w:val="Nessunaspaziatura"/>
              <w:jc w:val="both"/>
              <w:rPr>
                <w:rFonts w:ascii="Aptos" w:hAnsi="Aptos" w:cstheme="minorHAnsi"/>
                <w:sz w:val="18"/>
                <w:szCs w:val="18"/>
              </w:rPr>
            </w:pPr>
            <w:r w:rsidRPr="00CA77B3">
              <w:t>Fondazione Pontirolo</w:t>
            </w:r>
          </w:p>
        </w:tc>
        <w:tc>
          <w:tcPr>
            <w:tcW w:w="2693" w:type="dxa"/>
            <w:tcMar>
              <w:top w:w="0" w:type="dxa"/>
              <w:left w:w="28" w:type="dxa"/>
              <w:bottom w:w="28" w:type="dxa"/>
              <w:right w:w="0" w:type="dxa"/>
            </w:tcMar>
            <w:vAlign w:val="center"/>
          </w:tcPr>
          <w:p w14:paraId="2EE7349D" w14:textId="4FD18411" w:rsidR="009805DA" w:rsidRPr="007C7CC5" w:rsidRDefault="009805DA" w:rsidP="009805DA">
            <w:pPr>
              <w:pStyle w:val="Nessunaspaziatura"/>
              <w:jc w:val="both"/>
              <w:rPr>
                <w:rFonts w:ascii="Aptos" w:hAnsi="Aptos" w:cstheme="minorHAnsi"/>
                <w:sz w:val="18"/>
                <w:szCs w:val="18"/>
              </w:rPr>
            </w:pPr>
            <w:r w:rsidRPr="009805DA">
              <w:t>Ente strumentale partecipato</w:t>
            </w:r>
          </w:p>
        </w:tc>
        <w:tc>
          <w:tcPr>
            <w:tcW w:w="1276" w:type="dxa"/>
            <w:tcMar>
              <w:top w:w="0" w:type="dxa"/>
              <w:left w:w="28" w:type="dxa"/>
              <w:bottom w:w="28" w:type="dxa"/>
              <w:right w:w="0" w:type="dxa"/>
            </w:tcMar>
            <w:vAlign w:val="center"/>
          </w:tcPr>
          <w:p w14:paraId="76DA3D14" w14:textId="73B91963" w:rsidR="009805DA" w:rsidRPr="007C7CC5" w:rsidRDefault="009805DA" w:rsidP="009805DA">
            <w:pPr>
              <w:pStyle w:val="Nessunaspaziatura"/>
              <w:jc w:val="center"/>
              <w:rPr>
                <w:rFonts w:ascii="Aptos" w:hAnsi="Aptos" w:cstheme="minorHAnsi"/>
                <w:sz w:val="18"/>
                <w:szCs w:val="18"/>
              </w:rPr>
            </w:pPr>
            <w:r w:rsidRPr="0098382E">
              <w:t>11,7%</w:t>
            </w:r>
          </w:p>
        </w:tc>
        <w:tc>
          <w:tcPr>
            <w:tcW w:w="1936" w:type="dxa"/>
            <w:tcMar>
              <w:top w:w="0" w:type="dxa"/>
              <w:left w:w="28" w:type="dxa"/>
              <w:bottom w:w="28" w:type="dxa"/>
              <w:right w:w="28" w:type="dxa"/>
            </w:tcMar>
            <w:vAlign w:val="center"/>
          </w:tcPr>
          <w:p w14:paraId="2D662480" w14:textId="6D8AB1A6" w:rsidR="00D21D4E" w:rsidRPr="007C7CC5" w:rsidRDefault="00D21D4E" w:rsidP="00D21D4E">
            <w:pPr>
              <w:pStyle w:val="Nessunaspaziatura"/>
              <w:jc w:val="both"/>
              <w:rPr>
                <w:rFonts w:ascii="Aptos" w:hAnsi="Aptos" w:cstheme="minorHAnsi"/>
                <w:sz w:val="18"/>
                <w:szCs w:val="18"/>
              </w:rPr>
            </w:pPr>
            <w:hyperlink r:id="rId21" w:history="1">
              <w:r w:rsidRPr="00BB64C6">
                <w:rPr>
                  <w:rStyle w:val="Collegamentoipertestuale"/>
                  <w:rFonts w:ascii="Aptos" w:hAnsi="Aptos" w:cstheme="minorHAnsi"/>
                  <w:sz w:val="18"/>
                  <w:szCs w:val="18"/>
                </w:rPr>
                <w:t>https://pontiroloonlus.it/</w:t>
              </w:r>
            </w:hyperlink>
          </w:p>
        </w:tc>
      </w:tr>
      <w:tr w:rsidR="009805DA" w:rsidRPr="007C7CC5" w14:paraId="79BC1A94" w14:textId="77777777" w:rsidTr="00A060C9">
        <w:trPr>
          <w:jc w:val="center"/>
        </w:trPr>
        <w:tc>
          <w:tcPr>
            <w:tcW w:w="1598" w:type="dxa"/>
            <w:tcMar>
              <w:top w:w="0" w:type="dxa"/>
              <w:left w:w="28" w:type="dxa"/>
              <w:bottom w:w="28" w:type="dxa"/>
              <w:right w:w="0" w:type="dxa"/>
            </w:tcMar>
          </w:tcPr>
          <w:p w14:paraId="1BE4BEA2" w14:textId="70F90450" w:rsidR="009805DA" w:rsidRPr="009805DA" w:rsidRDefault="009805DA" w:rsidP="009805DA">
            <w:pPr>
              <w:pStyle w:val="Nessunaspaziatura"/>
              <w:jc w:val="center"/>
            </w:pPr>
            <w:r w:rsidRPr="009805DA">
              <w:t>Diretta</w:t>
            </w:r>
          </w:p>
        </w:tc>
        <w:tc>
          <w:tcPr>
            <w:tcW w:w="2268" w:type="dxa"/>
            <w:tcMar>
              <w:top w:w="0" w:type="dxa"/>
              <w:left w:w="28" w:type="dxa"/>
              <w:bottom w:w="28" w:type="dxa"/>
              <w:right w:w="0" w:type="dxa"/>
            </w:tcMar>
            <w:vAlign w:val="center"/>
          </w:tcPr>
          <w:p w14:paraId="3171FEFB" w14:textId="0ED4F494" w:rsidR="009805DA" w:rsidRPr="007C7CC5" w:rsidRDefault="009805DA" w:rsidP="009805DA">
            <w:pPr>
              <w:pStyle w:val="Nessunaspaziatura"/>
              <w:jc w:val="both"/>
              <w:rPr>
                <w:rFonts w:ascii="Aptos" w:hAnsi="Aptos" w:cstheme="minorHAnsi"/>
                <w:sz w:val="18"/>
                <w:szCs w:val="18"/>
              </w:rPr>
            </w:pPr>
            <w:r w:rsidRPr="00CA77B3">
              <w:t>Fondazione per Leggere</w:t>
            </w:r>
          </w:p>
        </w:tc>
        <w:tc>
          <w:tcPr>
            <w:tcW w:w="2693" w:type="dxa"/>
            <w:tcMar>
              <w:top w:w="0" w:type="dxa"/>
              <w:left w:w="28" w:type="dxa"/>
              <w:bottom w:w="28" w:type="dxa"/>
              <w:right w:w="0" w:type="dxa"/>
            </w:tcMar>
            <w:vAlign w:val="center"/>
          </w:tcPr>
          <w:p w14:paraId="7D4FAA83" w14:textId="21D97AD1" w:rsidR="009805DA" w:rsidRPr="007C7CC5" w:rsidRDefault="009805DA" w:rsidP="009805DA">
            <w:pPr>
              <w:pStyle w:val="Nessunaspaziatura"/>
              <w:jc w:val="both"/>
              <w:rPr>
                <w:rFonts w:ascii="Aptos" w:hAnsi="Aptos" w:cstheme="minorHAnsi"/>
                <w:sz w:val="18"/>
                <w:szCs w:val="18"/>
              </w:rPr>
            </w:pPr>
            <w:r w:rsidRPr="009805DA">
              <w:t>Ente strumentale partecipato</w:t>
            </w:r>
          </w:p>
        </w:tc>
        <w:tc>
          <w:tcPr>
            <w:tcW w:w="1276" w:type="dxa"/>
            <w:tcMar>
              <w:top w:w="0" w:type="dxa"/>
              <w:left w:w="28" w:type="dxa"/>
              <w:bottom w:w="28" w:type="dxa"/>
              <w:right w:w="0" w:type="dxa"/>
            </w:tcMar>
            <w:vAlign w:val="center"/>
          </w:tcPr>
          <w:p w14:paraId="744D60CB" w14:textId="527233E6" w:rsidR="009805DA" w:rsidRPr="007C7CC5" w:rsidRDefault="009805DA" w:rsidP="009805DA">
            <w:pPr>
              <w:pStyle w:val="Nessunaspaziatura"/>
              <w:jc w:val="center"/>
              <w:rPr>
                <w:rFonts w:ascii="Aptos" w:hAnsi="Aptos" w:cstheme="minorHAnsi"/>
                <w:sz w:val="18"/>
                <w:szCs w:val="18"/>
              </w:rPr>
            </w:pPr>
            <w:r w:rsidRPr="00CA77B3">
              <w:t>1,7%</w:t>
            </w:r>
          </w:p>
        </w:tc>
        <w:tc>
          <w:tcPr>
            <w:tcW w:w="1936" w:type="dxa"/>
            <w:tcMar>
              <w:top w:w="0" w:type="dxa"/>
              <w:left w:w="28" w:type="dxa"/>
              <w:bottom w:w="28" w:type="dxa"/>
              <w:right w:w="28" w:type="dxa"/>
            </w:tcMar>
            <w:vAlign w:val="center"/>
          </w:tcPr>
          <w:p w14:paraId="578739AA" w14:textId="64530F96" w:rsidR="00D21D4E" w:rsidRPr="007C7CC5" w:rsidRDefault="00D21D4E" w:rsidP="00D21D4E">
            <w:pPr>
              <w:pStyle w:val="Nessunaspaziatura"/>
              <w:jc w:val="both"/>
              <w:rPr>
                <w:rFonts w:ascii="Aptos" w:hAnsi="Aptos" w:cstheme="minorHAnsi"/>
                <w:sz w:val="18"/>
                <w:szCs w:val="18"/>
              </w:rPr>
            </w:pPr>
            <w:hyperlink r:id="rId22" w:history="1">
              <w:r w:rsidRPr="00BB64C6">
                <w:rPr>
                  <w:rStyle w:val="Collegamentoipertestuale"/>
                  <w:rFonts w:ascii="Aptos" w:hAnsi="Aptos" w:cstheme="minorHAnsi"/>
                  <w:sz w:val="18"/>
                  <w:szCs w:val="18"/>
                </w:rPr>
                <w:t>https://www.fondazioneperleggere.it/</w:t>
              </w:r>
            </w:hyperlink>
          </w:p>
        </w:tc>
      </w:tr>
      <w:tr w:rsidR="009805DA" w:rsidRPr="007C7CC5" w14:paraId="2A61E2F1" w14:textId="77777777" w:rsidTr="00A060C9">
        <w:trPr>
          <w:jc w:val="center"/>
        </w:trPr>
        <w:tc>
          <w:tcPr>
            <w:tcW w:w="1598" w:type="dxa"/>
            <w:tcMar>
              <w:top w:w="0" w:type="dxa"/>
              <w:left w:w="28" w:type="dxa"/>
              <w:bottom w:w="28" w:type="dxa"/>
              <w:right w:w="0" w:type="dxa"/>
            </w:tcMar>
          </w:tcPr>
          <w:p w14:paraId="40548837" w14:textId="1C27619B" w:rsidR="009805DA" w:rsidRPr="0098382E" w:rsidRDefault="009805DA" w:rsidP="009805DA">
            <w:pPr>
              <w:pStyle w:val="Nessunaspaziatura"/>
              <w:jc w:val="center"/>
            </w:pPr>
            <w:r w:rsidRPr="009805DA">
              <w:t>Diretta</w:t>
            </w:r>
          </w:p>
        </w:tc>
        <w:tc>
          <w:tcPr>
            <w:tcW w:w="2268" w:type="dxa"/>
            <w:tcMar>
              <w:top w:w="0" w:type="dxa"/>
              <w:left w:w="28" w:type="dxa"/>
              <w:bottom w:w="28" w:type="dxa"/>
              <w:right w:w="0" w:type="dxa"/>
            </w:tcMar>
            <w:vAlign w:val="center"/>
          </w:tcPr>
          <w:p w14:paraId="05FA87EA" w14:textId="076C4642" w:rsidR="009805DA" w:rsidRPr="0098382E" w:rsidRDefault="009805DA" w:rsidP="009805DA">
            <w:pPr>
              <w:pStyle w:val="Nessunaspaziatura"/>
              <w:jc w:val="both"/>
            </w:pPr>
            <w:r w:rsidRPr="00CA77B3">
              <w:t>A.F.O.L. Metropolitana Az. Spec. Cons.</w:t>
            </w:r>
          </w:p>
        </w:tc>
        <w:tc>
          <w:tcPr>
            <w:tcW w:w="2693" w:type="dxa"/>
            <w:tcMar>
              <w:top w:w="0" w:type="dxa"/>
              <w:left w:w="28" w:type="dxa"/>
              <w:bottom w:w="28" w:type="dxa"/>
              <w:right w:w="0" w:type="dxa"/>
            </w:tcMar>
            <w:vAlign w:val="center"/>
          </w:tcPr>
          <w:p w14:paraId="773CDEFE" w14:textId="2F497620" w:rsidR="009805DA" w:rsidRPr="007C7CC5" w:rsidRDefault="009805DA" w:rsidP="009805DA">
            <w:pPr>
              <w:pStyle w:val="Nessunaspaziatura"/>
              <w:jc w:val="both"/>
              <w:rPr>
                <w:rFonts w:ascii="Aptos" w:hAnsi="Aptos" w:cstheme="minorHAnsi"/>
                <w:sz w:val="18"/>
                <w:szCs w:val="18"/>
              </w:rPr>
            </w:pPr>
            <w:r w:rsidRPr="009805DA">
              <w:t>Ente strumentale partecipato</w:t>
            </w:r>
          </w:p>
        </w:tc>
        <w:tc>
          <w:tcPr>
            <w:tcW w:w="1276" w:type="dxa"/>
            <w:tcMar>
              <w:top w:w="0" w:type="dxa"/>
              <w:left w:w="28" w:type="dxa"/>
              <w:bottom w:w="28" w:type="dxa"/>
              <w:right w:w="0" w:type="dxa"/>
            </w:tcMar>
            <w:vAlign w:val="center"/>
          </w:tcPr>
          <w:p w14:paraId="75439EF2" w14:textId="24625E7C" w:rsidR="009805DA" w:rsidRPr="007C7CC5" w:rsidRDefault="009805DA" w:rsidP="009805DA">
            <w:pPr>
              <w:pStyle w:val="Nessunaspaziatura"/>
              <w:jc w:val="center"/>
              <w:rPr>
                <w:rFonts w:ascii="Aptos" w:hAnsi="Aptos" w:cstheme="minorHAnsi"/>
                <w:sz w:val="18"/>
                <w:szCs w:val="18"/>
              </w:rPr>
            </w:pPr>
            <w:r w:rsidRPr="00CA77B3">
              <w:t>0,17%</w:t>
            </w:r>
          </w:p>
        </w:tc>
        <w:tc>
          <w:tcPr>
            <w:tcW w:w="1936" w:type="dxa"/>
            <w:tcMar>
              <w:top w:w="0" w:type="dxa"/>
              <w:left w:w="28" w:type="dxa"/>
              <w:bottom w:w="28" w:type="dxa"/>
              <w:right w:w="28" w:type="dxa"/>
            </w:tcMar>
            <w:vAlign w:val="center"/>
          </w:tcPr>
          <w:p w14:paraId="4AF29D13" w14:textId="7B62C64C" w:rsidR="009805DA" w:rsidRDefault="00D21D4E" w:rsidP="009805DA">
            <w:pPr>
              <w:pStyle w:val="Nessunaspaziatura"/>
              <w:jc w:val="both"/>
              <w:rPr>
                <w:rFonts w:ascii="Aptos" w:hAnsi="Aptos" w:cstheme="minorHAnsi"/>
                <w:sz w:val="18"/>
                <w:szCs w:val="18"/>
              </w:rPr>
            </w:pPr>
            <w:hyperlink r:id="rId23" w:history="1">
              <w:r w:rsidRPr="00BB64C6">
                <w:rPr>
                  <w:rStyle w:val="Collegamentoipertestuale"/>
                  <w:rFonts w:ascii="Aptos" w:hAnsi="Aptos" w:cstheme="minorHAnsi"/>
                  <w:sz w:val="18"/>
                  <w:szCs w:val="18"/>
                </w:rPr>
                <w:t>https://www.afolmet.it/</w:t>
              </w:r>
            </w:hyperlink>
          </w:p>
          <w:p w14:paraId="3E35A0AD" w14:textId="2218C2FD" w:rsidR="00D21D4E" w:rsidRPr="007C7CC5" w:rsidRDefault="00D21D4E" w:rsidP="009805DA">
            <w:pPr>
              <w:pStyle w:val="Nessunaspaziatura"/>
              <w:jc w:val="both"/>
              <w:rPr>
                <w:rFonts w:ascii="Aptos" w:hAnsi="Aptos" w:cstheme="minorHAnsi"/>
                <w:sz w:val="18"/>
                <w:szCs w:val="18"/>
              </w:rPr>
            </w:pPr>
          </w:p>
        </w:tc>
      </w:tr>
    </w:tbl>
    <w:p w14:paraId="333C3547" w14:textId="77777777" w:rsidR="0098382E" w:rsidRPr="00CA77B3" w:rsidRDefault="0098382E" w:rsidP="000E1F9B">
      <w:pPr>
        <w:jc w:val="both"/>
        <w:rPr>
          <w:i/>
        </w:rPr>
      </w:pPr>
    </w:p>
    <w:p w14:paraId="43CB3F89" w14:textId="77777777" w:rsidR="0059602D" w:rsidRPr="00CA77B3" w:rsidRDefault="0059602D" w:rsidP="000E1F9B">
      <w:pPr>
        <w:jc w:val="both"/>
        <w:rPr>
          <w:i/>
        </w:rPr>
      </w:pPr>
      <w:r w:rsidRPr="00CA77B3">
        <w:rPr>
          <w:i/>
        </w:rPr>
        <w:t>e) Elenco dei contratti relativi a strumenti finanziari derivati:</w:t>
      </w:r>
    </w:p>
    <w:p w14:paraId="67515251" w14:textId="0CAB1FE4" w:rsidR="0059602D" w:rsidRPr="00CA77B3" w:rsidRDefault="00A40ABC" w:rsidP="000E1F9B">
      <w:pPr>
        <w:jc w:val="both"/>
      </w:pPr>
      <w:r w:rsidRPr="00A40ABC">
        <w:t>Il Comune non è impegnato in contratti relativi a strumenti finanziari derivati.</w:t>
      </w:r>
    </w:p>
    <w:p w14:paraId="35CFEEAE" w14:textId="77777777" w:rsidR="009828BB" w:rsidRPr="00CA77B3" w:rsidRDefault="009828BB" w:rsidP="000E1F9B">
      <w:pPr>
        <w:jc w:val="both"/>
        <w:rPr>
          <w:i/>
        </w:rPr>
      </w:pPr>
    </w:p>
    <w:p w14:paraId="0504495A" w14:textId="77777777" w:rsidR="00FA04D9" w:rsidRPr="00CA77B3" w:rsidRDefault="00FA04D9" w:rsidP="000E1F9B">
      <w:pPr>
        <w:jc w:val="both"/>
        <w:rPr>
          <w:i/>
        </w:rPr>
      </w:pPr>
      <w:r w:rsidRPr="00CA77B3">
        <w:rPr>
          <w:i/>
        </w:rPr>
        <w:t>f) Bilanci comune e partecipate</w:t>
      </w:r>
    </w:p>
    <w:p w14:paraId="107EC7C2" w14:textId="22CED147" w:rsidR="00FA04D9" w:rsidRPr="00CA77B3" w:rsidRDefault="00FA04D9" w:rsidP="000E1F9B">
      <w:pPr>
        <w:jc w:val="both"/>
      </w:pPr>
      <w:r w:rsidRPr="00CA77B3">
        <w:t xml:space="preserve">I Bilanci preventivi e consuntivi del Comune di </w:t>
      </w:r>
      <w:r w:rsidR="00EA7DC8" w:rsidRPr="00CA77B3">
        <w:t>Assago</w:t>
      </w:r>
      <w:r w:rsidRPr="00CA77B3">
        <w:t xml:space="preserve"> e delle sue partecipate sono consultabili sul sito del Comune </w:t>
      </w:r>
      <w:hyperlink r:id="rId24" w:history="1">
        <w:r w:rsidR="00772B99" w:rsidRPr="00CA77B3">
          <w:rPr>
            <w:rStyle w:val="Collegamentoipertestuale"/>
          </w:rPr>
          <w:t>www.comune.assago.mi.it</w:t>
        </w:r>
      </w:hyperlink>
      <w:r w:rsidR="00805EDD" w:rsidRPr="00CA77B3">
        <w:t xml:space="preserve"> o sui rispettivi siti.</w:t>
      </w:r>
    </w:p>
    <w:p w14:paraId="22C9ED0D" w14:textId="77777777" w:rsidR="005E4E96" w:rsidRPr="00CA77B3" w:rsidRDefault="005E4E96" w:rsidP="000E1F9B">
      <w:pPr>
        <w:jc w:val="both"/>
      </w:pPr>
    </w:p>
    <w:p w14:paraId="312815FB" w14:textId="64D1F623" w:rsidR="005E4E96" w:rsidRPr="00CA77B3" w:rsidRDefault="005E4E96" w:rsidP="005E4E96">
      <w:pPr>
        <w:pStyle w:val="Titolo1"/>
        <w:keepNext w:val="0"/>
        <w:keepLines w:val="0"/>
        <w:widowControl w:val="0"/>
        <w:pBdr>
          <w:top w:val="single" w:sz="6" w:space="1" w:color="000000" w:shadow="1"/>
          <w:left w:val="single" w:sz="6" w:space="4" w:color="000000" w:shadow="1"/>
          <w:bottom w:val="single" w:sz="6" w:space="1" w:color="000000" w:shadow="1"/>
          <w:right w:val="single" w:sz="6" w:space="4" w:color="000000" w:shadow="1"/>
        </w:pBdr>
        <w:shd w:val="clear" w:color="auto" w:fill="B6DDE8"/>
        <w:overflowPunct w:val="0"/>
        <w:autoSpaceDE w:val="0"/>
        <w:autoSpaceDN w:val="0"/>
        <w:adjustRightInd w:val="0"/>
        <w:spacing w:before="0" w:after="360" w:line="240" w:lineRule="auto"/>
        <w:jc w:val="center"/>
        <w:rPr>
          <w:rFonts w:ascii="Times New Roman" w:eastAsia="Times New Roman" w:hAnsi="Times New Roman" w:cs="Times New Roman"/>
          <w:bCs/>
          <w:kern w:val="32"/>
          <w:sz w:val="32"/>
          <w:szCs w:val="32"/>
          <w:lang w:val="x-none" w:eastAsia="x-none"/>
        </w:rPr>
      </w:pPr>
      <w:bookmarkStart w:id="9" w:name="_Toc215130333"/>
      <w:r w:rsidRPr="00CA77B3">
        <w:rPr>
          <w:rFonts w:ascii="Times New Roman" w:eastAsia="Times New Roman" w:hAnsi="Times New Roman" w:cs="Times New Roman"/>
          <w:bCs/>
          <w:kern w:val="32"/>
          <w:sz w:val="32"/>
          <w:szCs w:val="32"/>
          <w:lang w:val="x-none" w:eastAsia="x-none"/>
        </w:rPr>
        <w:t>8. CONCLUSIONI</w:t>
      </w:r>
      <w:bookmarkEnd w:id="9"/>
    </w:p>
    <w:p w14:paraId="78BB8A11" w14:textId="77777777" w:rsidR="005E4E96" w:rsidRPr="00CA77B3" w:rsidRDefault="005E4E96" w:rsidP="005E4E96">
      <w:pPr>
        <w:jc w:val="both"/>
      </w:pPr>
      <w:r w:rsidRPr="00CA77B3">
        <w:t xml:space="preserve">I documenti contabili sono stati predisposti attenendosi alle regole stabilite dalla normativa in vigore e sono coerenti con le “Disposizioni in materia di armonizzazione dei sistemi contabili e degli schemi di bilancio” (D.Lgs.n.118/11), applicabili a questo esercizio. In particolare, il bilancio complessivo è in equilibrio e la scomposizione dello stesso nelle singole componenti rispecchia le prescrizioni di legge. </w:t>
      </w:r>
    </w:p>
    <w:p w14:paraId="4DAC96A0" w14:textId="77777777" w:rsidR="005E4E96" w:rsidRPr="00CA77B3" w:rsidRDefault="005E4E96" w:rsidP="005E4E96">
      <w:pPr>
        <w:jc w:val="both"/>
      </w:pPr>
      <w:r w:rsidRPr="00CA77B3">
        <w:t xml:space="preserve">Gli stanziamenti di entrata, nel loro totale complessivo, corrispondono a quelli di spesa per l’intero triennio oggetto di programmazione, mentre è stato valutato con la dovuta attenzione anche il fabbisogno complessivo di cassa, con i relativi flussi previsti in entrata (incassi) e in uscita (pagamenti). </w:t>
      </w:r>
    </w:p>
    <w:p w14:paraId="711B5A0E" w14:textId="77777777" w:rsidR="005E4E96" w:rsidRPr="00CA77B3" w:rsidRDefault="005E4E96" w:rsidP="005E4E96">
      <w:pPr>
        <w:jc w:val="both"/>
      </w:pPr>
      <w:r w:rsidRPr="00CA77B3">
        <w:t xml:space="preserve">I criteri di attribuzione delle entrate e delle uscite rispecchiano il principio della “competenza finanziaria potenziata” mentre risulta correttamente calcolato, ed eventualmente stanziato a bilancio, sia il risultato di amministrazione che il fondo pluriennale vincolato. I crediti verso terzi sono stati attentamente valutati come il possibile accantonamento del rispettivo fondo svalutazione. I fenomeni con andamento pluriennale che potevano avere effetti distorsivi sull’attuale strategia di bilancio sono stati descritti ed analizzati, in ogni loro aspetto, fornendo inoltre le opportune considerazioni. </w:t>
      </w:r>
    </w:p>
    <w:p w14:paraId="415AB46F" w14:textId="77777777" w:rsidR="005E4E96" w:rsidRPr="00CA77B3" w:rsidRDefault="005E4E96" w:rsidP="005E4E96">
      <w:pPr>
        <w:jc w:val="both"/>
      </w:pPr>
      <w:r w:rsidRPr="00CA77B3">
        <w:t xml:space="preserve">Dove la norma dava adito a interpretazioni controverse e non ancora consolidate, è stata scelta una soluzione che andasse a privilegiare la sostanza invece che il puro e semplice rispetto della forma, come previsto dal rispettivo principio. Le informazioni di natura contabile richieste dalla legge, e non già riportate nel documento di programmazione principale, sono state riprese e sviluppate nella presente Nota integrativa, fornendo quindi una chiave di lettura tecnica al quadro finanziario ed economico complessivo. </w:t>
      </w:r>
    </w:p>
    <w:p w14:paraId="4FC8EF26" w14:textId="77777777" w:rsidR="005E4E96" w:rsidRPr="00CA77B3" w:rsidRDefault="005E4E96" w:rsidP="005E4E96">
      <w:pPr>
        <w:jc w:val="both"/>
      </w:pPr>
      <w:r w:rsidRPr="00CA77B3">
        <w:t xml:space="preserve">I fenomeni analizzati in questa relazione, infine, sono stati descritti con un approccio che li rendesse più comprensibili agli interlocutori, pubblici o privati, in possesso di una conoscenza, anche solo generica, sulla complessa realtà economica e finanziaria dell’ente locale. </w:t>
      </w:r>
    </w:p>
    <w:sectPr w:rsidR="005E4E96" w:rsidRPr="00CA77B3">
      <w:footerReference w:type="default" r:id="rId2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6D22F2" w14:textId="77777777" w:rsidR="004739E4" w:rsidRDefault="004739E4">
      <w:r>
        <w:separator/>
      </w:r>
    </w:p>
  </w:endnote>
  <w:endnote w:type="continuationSeparator" w:id="0">
    <w:p w14:paraId="2A610110" w14:textId="77777777" w:rsidR="004739E4" w:rsidRDefault="00473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74D64" w14:textId="77777777" w:rsidR="00DD03BB" w:rsidRPr="00FD477D" w:rsidRDefault="00DD03BB" w:rsidP="00FD477D">
    <w:pPr>
      <w:pStyle w:val="Pidipagina"/>
      <w:jc w:val="right"/>
    </w:pPr>
    <w:r>
      <w:rPr>
        <w:rStyle w:val="Numeropagina"/>
      </w:rPr>
      <w:fldChar w:fldCharType="begin"/>
    </w:r>
    <w:r>
      <w:rPr>
        <w:rStyle w:val="Numeropagina"/>
      </w:rPr>
      <w:instrText xml:space="preserve"> PAGE </w:instrText>
    </w:r>
    <w:r>
      <w:rPr>
        <w:rStyle w:val="Numeropagina"/>
      </w:rPr>
      <w:fldChar w:fldCharType="separate"/>
    </w:r>
    <w:r w:rsidR="000B2385">
      <w:rPr>
        <w:rStyle w:val="Numeropagina"/>
        <w:noProof/>
      </w:rPr>
      <w:t>8</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2D7BF" w14:textId="77777777" w:rsidR="004739E4" w:rsidRDefault="004739E4">
      <w:r>
        <w:separator/>
      </w:r>
    </w:p>
  </w:footnote>
  <w:footnote w:type="continuationSeparator" w:id="0">
    <w:p w14:paraId="22AECF8A" w14:textId="77777777" w:rsidR="004739E4" w:rsidRDefault="004739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828F6"/>
    <w:multiLevelType w:val="hybridMultilevel"/>
    <w:tmpl w:val="5E94B18A"/>
    <w:lvl w:ilvl="0" w:tplc="FE94206A">
      <w:start w:val="1"/>
      <w:numFmt w:val="bullet"/>
      <w:lvlText w:val=""/>
      <w:lvlJc w:val="left"/>
      <w:pPr>
        <w:tabs>
          <w:tab w:val="num" w:pos="360"/>
        </w:tabs>
        <w:ind w:left="360" w:hanging="36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C619FC"/>
    <w:multiLevelType w:val="hybridMultilevel"/>
    <w:tmpl w:val="1530300C"/>
    <w:lvl w:ilvl="0" w:tplc="FE94206A">
      <w:start w:val="1"/>
      <w:numFmt w:val="bullet"/>
      <w:lvlText w:val=""/>
      <w:lvlJc w:val="left"/>
      <w:pPr>
        <w:tabs>
          <w:tab w:val="num" w:pos="360"/>
        </w:tabs>
        <w:ind w:left="360" w:hanging="36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C711EA"/>
    <w:multiLevelType w:val="hybridMultilevel"/>
    <w:tmpl w:val="8ADE00E8"/>
    <w:lvl w:ilvl="0" w:tplc="60284DFA">
      <w:start w:val="5"/>
      <w:numFmt w:val="decimal"/>
      <w:lvlText w:val="%1."/>
      <w:lvlJc w:val="left"/>
      <w:pPr>
        <w:ind w:left="720" w:hanging="360"/>
      </w:pPr>
      <w:rPr>
        <w:rFonts w:hint="default"/>
      </w:rPr>
    </w:lvl>
    <w:lvl w:ilvl="1" w:tplc="2974A6F8">
      <w:start w:val="1"/>
      <w:numFmt w:val="lowerLetter"/>
      <w:lvlText w:val="%2)"/>
      <w:lvlJc w:val="left"/>
      <w:pPr>
        <w:ind w:left="1440" w:hanging="360"/>
      </w:pPr>
      <w:rPr>
        <w:rFonts w:hint="default"/>
        <w:color w:val="000000"/>
      </w:rPr>
    </w:lvl>
    <w:lvl w:ilvl="2" w:tplc="CA4EBF1C">
      <w:numFmt w:val="bullet"/>
      <w:lvlText w:val="-"/>
      <w:lvlJc w:val="left"/>
      <w:pPr>
        <w:ind w:left="1315" w:hanging="180"/>
      </w:pPr>
      <w:rPr>
        <w:rFonts w:ascii="Times New Roman" w:eastAsia="Calibri" w:hAnsi="Times New Roman" w:cs="Times New Roman"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762218"/>
    <w:multiLevelType w:val="hybridMultilevel"/>
    <w:tmpl w:val="3FD2BEC2"/>
    <w:lvl w:ilvl="0" w:tplc="FE94206A">
      <w:start w:val="1"/>
      <w:numFmt w:val="bullet"/>
      <w:lvlText w:val=""/>
      <w:lvlJc w:val="left"/>
      <w:pPr>
        <w:tabs>
          <w:tab w:val="num" w:pos="360"/>
        </w:tabs>
        <w:ind w:left="360" w:hanging="36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543E62"/>
    <w:multiLevelType w:val="hybridMultilevel"/>
    <w:tmpl w:val="4A4A6FEA"/>
    <w:lvl w:ilvl="0" w:tplc="FE94206A">
      <w:start w:val="1"/>
      <w:numFmt w:val="bullet"/>
      <w:lvlText w:val=""/>
      <w:lvlJc w:val="left"/>
      <w:pPr>
        <w:tabs>
          <w:tab w:val="num" w:pos="360"/>
        </w:tabs>
        <w:ind w:left="360" w:hanging="360"/>
      </w:pPr>
      <w:rPr>
        <w:rFonts w:ascii="Symbol" w:hAnsi="Symbol" w:hint="default"/>
        <w:sz w:val="16"/>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A68417C"/>
    <w:multiLevelType w:val="hybridMultilevel"/>
    <w:tmpl w:val="C6F2E00C"/>
    <w:lvl w:ilvl="0" w:tplc="229073AA">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BB931B5"/>
    <w:multiLevelType w:val="multilevel"/>
    <w:tmpl w:val="311686CE"/>
    <w:lvl w:ilvl="0">
      <w:start w:val="5"/>
      <w:numFmt w:val="decimal"/>
      <w:lvlText w:val="%1"/>
      <w:lvlJc w:val="left"/>
      <w:pPr>
        <w:ind w:left="360" w:hanging="360"/>
      </w:pPr>
      <w:rPr>
        <w:rFonts w:hint="default"/>
        <w:color w:val="000000"/>
      </w:rPr>
    </w:lvl>
    <w:lvl w:ilvl="1">
      <w:start w:val="3"/>
      <w:numFmt w:val="decimal"/>
      <w:lvlText w:val="%1.%2"/>
      <w:lvlJc w:val="left"/>
      <w:pPr>
        <w:ind w:left="502" w:hanging="360"/>
      </w:pPr>
      <w:rPr>
        <w:rFonts w:hint="default"/>
        <w:color w:val="000000"/>
      </w:rPr>
    </w:lvl>
    <w:lvl w:ilvl="2">
      <w:start w:val="1"/>
      <w:numFmt w:val="decimal"/>
      <w:lvlText w:val="%1.%2.%3"/>
      <w:lvlJc w:val="left"/>
      <w:pPr>
        <w:ind w:left="1004" w:hanging="720"/>
      </w:pPr>
      <w:rPr>
        <w:rFonts w:hint="default"/>
        <w:color w:val="000000"/>
      </w:rPr>
    </w:lvl>
    <w:lvl w:ilvl="3">
      <w:start w:val="1"/>
      <w:numFmt w:val="decimal"/>
      <w:lvlText w:val="%1.%2.%3.%4"/>
      <w:lvlJc w:val="left"/>
      <w:pPr>
        <w:ind w:left="1146" w:hanging="720"/>
      </w:pPr>
      <w:rPr>
        <w:rFonts w:hint="default"/>
        <w:color w:val="000000"/>
      </w:rPr>
    </w:lvl>
    <w:lvl w:ilvl="4">
      <w:start w:val="1"/>
      <w:numFmt w:val="decimal"/>
      <w:lvlText w:val="%1.%2.%3.%4.%5"/>
      <w:lvlJc w:val="left"/>
      <w:pPr>
        <w:ind w:left="1648" w:hanging="1080"/>
      </w:pPr>
      <w:rPr>
        <w:rFonts w:hint="default"/>
        <w:color w:val="000000"/>
      </w:rPr>
    </w:lvl>
    <w:lvl w:ilvl="5">
      <w:start w:val="1"/>
      <w:numFmt w:val="decimal"/>
      <w:lvlText w:val="%1.%2.%3.%4.%5.%6"/>
      <w:lvlJc w:val="left"/>
      <w:pPr>
        <w:ind w:left="1790" w:hanging="1080"/>
      </w:pPr>
      <w:rPr>
        <w:rFonts w:hint="default"/>
        <w:color w:val="000000"/>
      </w:rPr>
    </w:lvl>
    <w:lvl w:ilvl="6">
      <w:start w:val="1"/>
      <w:numFmt w:val="decimal"/>
      <w:lvlText w:val="%1.%2.%3.%4.%5.%6.%7"/>
      <w:lvlJc w:val="left"/>
      <w:pPr>
        <w:ind w:left="2292" w:hanging="1440"/>
      </w:pPr>
      <w:rPr>
        <w:rFonts w:hint="default"/>
        <w:color w:val="000000"/>
      </w:rPr>
    </w:lvl>
    <w:lvl w:ilvl="7">
      <w:start w:val="1"/>
      <w:numFmt w:val="decimal"/>
      <w:lvlText w:val="%1.%2.%3.%4.%5.%6.%7.%8"/>
      <w:lvlJc w:val="left"/>
      <w:pPr>
        <w:ind w:left="2434" w:hanging="1440"/>
      </w:pPr>
      <w:rPr>
        <w:rFonts w:hint="default"/>
        <w:color w:val="000000"/>
      </w:rPr>
    </w:lvl>
    <w:lvl w:ilvl="8">
      <w:start w:val="1"/>
      <w:numFmt w:val="decimal"/>
      <w:lvlText w:val="%1.%2.%3.%4.%5.%6.%7.%8.%9"/>
      <w:lvlJc w:val="left"/>
      <w:pPr>
        <w:ind w:left="2936" w:hanging="1800"/>
      </w:pPr>
      <w:rPr>
        <w:rFonts w:hint="default"/>
        <w:color w:val="000000"/>
      </w:rPr>
    </w:lvl>
  </w:abstractNum>
  <w:abstractNum w:abstractNumId="7" w15:restartNumberingAfterBreak="0">
    <w:nsid w:val="5EE3047C"/>
    <w:multiLevelType w:val="multilevel"/>
    <w:tmpl w:val="97587A5A"/>
    <w:lvl w:ilvl="0">
      <w:start w:val="1"/>
      <w:numFmt w:val="decimal"/>
      <w:lvlText w:val="%1."/>
      <w:lvlJc w:val="left"/>
      <w:pPr>
        <w:ind w:left="360" w:hanging="360"/>
      </w:pPr>
      <w:rPr>
        <w:rFonts w:hint="default"/>
      </w:rPr>
    </w:lvl>
    <w:lvl w:ilvl="1">
      <w:start w:val="1"/>
      <w:numFmt w:val="decimal"/>
      <w:isLgl/>
      <w:lvlText w:val="%1.%2"/>
      <w:lvlJc w:val="left"/>
      <w:pPr>
        <w:ind w:left="570" w:hanging="390"/>
      </w:pPr>
      <w:rPr>
        <w:rFonts w:hint="default"/>
        <w:i w:val="0"/>
      </w:rPr>
    </w:lvl>
    <w:lvl w:ilvl="2">
      <w:numFmt w:val="bullet"/>
      <w:lvlText w:val="-"/>
      <w:lvlJc w:val="left"/>
      <w:pPr>
        <w:ind w:left="1080" w:hanging="720"/>
      </w:pPr>
      <w:rPr>
        <w:rFonts w:ascii="Times New Roman" w:eastAsia="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C8276C4"/>
    <w:multiLevelType w:val="hybridMultilevel"/>
    <w:tmpl w:val="2B4C4850"/>
    <w:lvl w:ilvl="0" w:tplc="FE94206A">
      <w:start w:val="1"/>
      <w:numFmt w:val="bullet"/>
      <w:lvlText w:val=""/>
      <w:lvlJc w:val="left"/>
      <w:pPr>
        <w:tabs>
          <w:tab w:val="num" w:pos="360"/>
        </w:tabs>
        <w:ind w:left="360" w:hanging="36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332953132">
    <w:abstractNumId w:val="0"/>
  </w:num>
  <w:num w:numId="2" w16cid:durableId="1445228656">
    <w:abstractNumId w:val="4"/>
  </w:num>
  <w:num w:numId="3" w16cid:durableId="1226834778">
    <w:abstractNumId w:val="6"/>
  </w:num>
  <w:num w:numId="4" w16cid:durableId="1102922822">
    <w:abstractNumId w:val="2"/>
  </w:num>
  <w:num w:numId="5" w16cid:durableId="1835760339">
    <w:abstractNumId w:val="7"/>
  </w:num>
  <w:num w:numId="6" w16cid:durableId="1232547405">
    <w:abstractNumId w:val="3"/>
  </w:num>
  <w:num w:numId="7" w16cid:durableId="239291597">
    <w:abstractNumId w:val="8"/>
  </w:num>
  <w:num w:numId="8" w16cid:durableId="414740330">
    <w:abstractNumId w:val="1"/>
  </w:num>
  <w:num w:numId="9" w16cid:durableId="17608293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315"/>
    <w:rsid w:val="0000605E"/>
    <w:rsid w:val="0000733D"/>
    <w:rsid w:val="000120AA"/>
    <w:rsid w:val="000148C8"/>
    <w:rsid w:val="00024530"/>
    <w:rsid w:val="00027919"/>
    <w:rsid w:val="0003630A"/>
    <w:rsid w:val="000533AA"/>
    <w:rsid w:val="00071999"/>
    <w:rsid w:val="00074057"/>
    <w:rsid w:val="00076747"/>
    <w:rsid w:val="000A3DA3"/>
    <w:rsid w:val="000B2385"/>
    <w:rsid w:val="000B7D33"/>
    <w:rsid w:val="000D5DCC"/>
    <w:rsid w:val="000E1F9B"/>
    <w:rsid w:val="000E47DF"/>
    <w:rsid w:val="000F3007"/>
    <w:rsid w:val="0012129A"/>
    <w:rsid w:val="00130DE4"/>
    <w:rsid w:val="00131F82"/>
    <w:rsid w:val="001529F2"/>
    <w:rsid w:val="00161FCB"/>
    <w:rsid w:val="00195344"/>
    <w:rsid w:val="001A4AF2"/>
    <w:rsid w:val="001B1B9E"/>
    <w:rsid w:val="001C6F19"/>
    <w:rsid w:val="001D0313"/>
    <w:rsid w:val="001F264E"/>
    <w:rsid w:val="001F6A33"/>
    <w:rsid w:val="002036EB"/>
    <w:rsid w:val="00207AC1"/>
    <w:rsid w:val="002102FD"/>
    <w:rsid w:val="002269D8"/>
    <w:rsid w:val="00226B6F"/>
    <w:rsid w:val="002416DA"/>
    <w:rsid w:val="00242FD4"/>
    <w:rsid w:val="00257506"/>
    <w:rsid w:val="00276731"/>
    <w:rsid w:val="002853AA"/>
    <w:rsid w:val="0029285A"/>
    <w:rsid w:val="00297DF1"/>
    <w:rsid w:val="002A4230"/>
    <w:rsid w:val="002A70C7"/>
    <w:rsid w:val="002A74CA"/>
    <w:rsid w:val="002B4CE1"/>
    <w:rsid w:val="002C7AE7"/>
    <w:rsid w:val="003516E9"/>
    <w:rsid w:val="003706FE"/>
    <w:rsid w:val="00372BAA"/>
    <w:rsid w:val="00373838"/>
    <w:rsid w:val="00390F47"/>
    <w:rsid w:val="00391145"/>
    <w:rsid w:val="00394C99"/>
    <w:rsid w:val="003C663F"/>
    <w:rsid w:val="003E5C44"/>
    <w:rsid w:val="00402437"/>
    <w:rsid w:val="004164F0"/>
    <w:rsid w:val="00427AA1"/>
    <w:rsid w:val="00447E85"/>
    <w:rsid w:val="00461636"/>
    <w:rsid w:val="00464D96"/>
    <w:rsid w:val="004739E4"/>
    <w:rsid w:val="00482F62"/>
    <w:rsid w:val="004843B5"/>
    <w:rsid w:val="0049028B"/>
    <w:rsid w:val="004B5DED"/>
    <w:rsid w:val="004D1995"/>
    <w:rsid w:val="004D7487"/>
    <w:rsid w:val="004E469C"/>
    <w:rsid w:val="00506499"/>
    <w:rsid w:val="0050674B"/>
    <w:rsid w:val="00531433"/>
    <w:rsid w:val="00533532"/>
    <w:rsid w:val="0054258A"/>
    <w:rsid w:val="00561305"/>
    <w:rsid w:val="00576344"/>
    <w:rsid w:val="0059602D"/>
    <w:rsid w:val="0059794B"/>
    <w:rsid w:val="005A3876"/>
    <w:rsid w:val="005B19BC"/>
    <w:rsid w:val="005B19EA"/>
    <w:rsid w:val="005B45A0"/>
    <w:rsid w:val="005D2E66"/>
    <w:rsid w:val="005E4E96"/>
    <w:rsid w:val="00605951"/>
    <w:rsid w:val="006216C3"/>
    <w:rsid w:val="00625A65"/>
    <w:rsid w:val="00630745"/>
    <w:rsid w:val="0064287E"/>
    <w:rsid w:val="00650379"/>
    <w:rsid w:val="0065513C"/>
    <w:rsid w:val="0067197E"/>
    <w:rsid w:val="00677717"/>
    <w:rsid w:val="006874D7"/>
    <w:rsid w:val="00690DD1"/>
    <w:rsid w:val="00695CC9"/>
    <w:rsid w:val="0069638A"/>
    <w:rsid w:val="006C2A95"/>
    <w:rsid w:val="006C4EF6"/>
    <w:rsid w:val="006C790F"/>
    <w:rsid w:val="006D5861"/>
    <w:rsid w:val="00700518"/>
    <w:rsid w:val="007154A4"/>
    <w:rsid w:val="00740C8F"/>
    <w:rsid w:val="007429DD"/>
    <w:rsid w:val="0074471B"/>
    <w:rsid w:val="00752848"/>
    <w:rsid w:val="00772B99"/>
    <w:rsid w:val="007745BA"/>
    <w:rsid w:val="0077474B"/>
    <w:rsid w:val="00785DDB"/>
    <w:rsid w:val="00796837"/>
    <w:rsid w:val="007A7E3F"/>
    <w:rsid w:val="007B0484"/>
    <w:rsid w:val="007B6315"/>
    <w:rsid w:val="007E07DA"/>
    <w:rsid w:val="007E408D"/>
    <w:rsid w:val="007E7531"/>
    <w:rsid w:val="00805EDD"/>
    <w:rsid w:val="00831473"/>
    <w:rsid w:val="0083773D"/>
    <w:rsid w:val="00853E1E"/>
    <w:rsid w:val="0085557C"/>
    <w:rsid w:val="00873C25"/>
    <w:rsid w:val="008807FD"/>
    <w:rsid w:val="0088107B"/>
    <w:rsid w:val="008826B2"/>
    <w:rsid w:val="00895AAB"/>
    <w:rsid w:val="008A57BD"/>
    <w:rsid w:val="008C3171"/>
    <w:rsid w:val="008E09B6"/>
    <w:rsid w:val="008E7515"/>
    <w:rsid w:val="00900778"/>
    <w:rsid w:val="00924811"/>
    <w:rsid w:val="00952566"/>
    <w:rsid w:val="0096659D"/>
    <w:rsid w:val="00975BFA"/>
    <w:rsid w:val="009805DA"/>
    <w:rsid w:val="009828BB"/>
    <w:rsid w:val="0098382E"/>
    <w:rsid w:val="00985321"/>
    <w:rsid w:val="009A1251"/>
    <w:rsid w:val="009B7AEF"/>
    <w:rsid w:val="009D6849"/>
    <w:rsid w:val="00A1218E"/>
    <w:rsid w:val="00A12D8F"/>
    <w:rsid w:val="00A22B93"/>
    <w:rsid w:val="00A23174"/>
    <w:rsid w:val="00A4002D"/>
    <w:rsid w:val="00A40ABC"/>
    <w:rsid w:val="00A4216E"/>
    <w:rsid w:val="00A74200"/>
    <w:rsid w:val="00A752DE"/>
    <w:rsid w:val="00A8595A"/>
    <w:rsid w:val="00A872CC"/>
    <w:rsid w:val="00A95089"/>
    <w:rsid w:val="00AC3109"/>
    <w:rsid w:val="00AD21FC"/>
    <w:rsid w:val="00B062DF"/>
    <w:rsid w:val="00B073D5"/>
    <w:rsid w:val="00B110F1"/>
    <w:rsid w:val="00B252CE"/>
    <w:rsid w:val="00B322D1"/>
    <w:rsid w:val="00B34F4D"/>
    <w:rsid w:val="00B411A7"/>
    <w:rsid w:val="00B503FE"/>
    <w:rsid w:val="00B50DAE"/>
    <w:rsid w:val="00B70A45"/>
    <w:rsid w:val="00B85AB3"/>
    <w:rsid w:val="00B923CA"/>
    <w:rsid w:val="00B94301"/>
    <w:rsid w:val="00BA017A"/>
    <w:rsid w:val="00BC3CCA"/>
    <w:rsid w:val="00BC44B0"/>
    <w:rsid w:val="00BC4BD1"/>
    <w:rsid w:val="00BC54DC"/>
    <w:rsid w:val="00BD1E1C"/>
    <w:rsid w:val="00BE06D0"/>
    <w:rsid w:val="00C21837"/>
    <w:rsid w:val="00C26192"/>
    <w:rsid w:val="00C41E5A"/>
    <w:rsid w:val="00C435A7"/>
    <w:rsid w:val="00C5530C"/>
    <w:rsid w:val="00C65940"/>
    <w:rsid w:val="00C7043C"/>
    <w:rsid w:val="00C748D7"/>
    <w:rsid w:val="00C76B47"/>
    <w:rsid w:val="00C85967"/>
    <w:rsid w:val="00CA08EB"/>
    <w:rsid w:val="00CA3E25"/>
    <w:rsid w:val="00CA77B3"/>
    <w:rsid w:val="00CB36E7"/>
    <w:rsid w:val="00CE528A"/>
    <w:rsid w:val="00CF720D"/>
    <w:rsid w:val="00D016A8"/>
    <w:rsid w:val="00D1086C"/>
    <w:rsid w:val="00D14F61"/>
    <w:rsid w:val="00D16F1E"/>
    <w:rsid w:val="00D21D4E"/>
    <w:rsid w:val="00D23DD7"/>
    <w:rsid w:val="00D2488B"/>
    <w:rsid w:val="00D34262"/>
    <w:rsid w:val="00D46258"/>
    <w:rsid w:val="00D632D0"/>
    <w:rsid w:val="00D63DDF"/>
    <w:rsid w:val="00D756D2"/>
    <w:rsid w:val="00D82824"/>
    <w:rsid w:val="00DA2033"/>
    <w:rsid w:val="00DC1036"/>
    <w:rsid w:val="00DC5D88"/>
    <w:rsid w:val="00DC6370"/>
    <w:rsid w:val="00DD03BB"/>
    <w:rsid w:val="00DD1A9A"/>
    <w:rsid w:val="00DD4481"/>
    <w:rsid w:val="00DD68B0"/>
    <w:rsid w:val="00DE038A"/>
    <w:rsid w:val="00DE075D"/>
    <w:rsid w:val="00DE1B43"/>
    <w:rsid w:val="00DE3969"/>
    <w:rsid w:val="00DE4F88"/>
    <w:rsid w:val="00E015EF"/>
    <w:rsid w:val="00E37BED"/>
    <w:rsid w:val="00E551FB"/>
    <w:rsid w:val="00E55D04"/>
    <w:rsid w:val="00E64D05"/>
    <w:rsid w:val="00E87582"/>
    <w:rsid w:val="00E95780"/>
    <w:rsid w:val="00E95C40"/>
    <w:rsid w:val="00E962B0"/>
    <w:rsid w:val="00EA7DC8"/>
    <w:rsid w:val="00EB5B66"/>
    <w:rsid w:val="00ED4B87"/>
    <w:rsid w:val="00EE6F42"/>
    <w:rsid w:val="00EF4748"/>
    <w:rsid w:val="00F0057D"/>
    <w:rsid w:val="00F01DF9"/>
    <w:rsid w:val="00F04F93"/>
    <w:rsid w:val="00F06F6D"/>
    <w:rsid w:val="00F2007C"/>
    <w:rsid w:val="00F2246C"/>
    <w:rsid w:val="00F33CD0"/>
    <w:rsid w:val="00F346C9"/>
    <w:rsid w:val="00F57EA1"/>
    <w:rsid w:val="00F603B0"/>
    <w:rsid w:val="00F6759E"/>
    <w:rsid w:val="00F7478E"/>
    <w:rsid w:val="00F76BAA"/>
    <w:rsid w:val="00F87484"/>
    <w:rsid w:val="00F90886"/>
    <w:rsid w:val="00F93C68"/>
    <w:rsid w:val="00FA04D9"/>
    <w:rsid w:val="00FA2E28"/>
    <w:rsid w:val="00FB7469"/>
    <w:rsid w:val="00FD477D"/>
    <w:rsid w:val="00FF3204"/>
    <w:rsid w:val="00FF6A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750D543B"/>
  <w15:chartTrackingRefBased/>
  <w15:docId w15:val="{7253734A-70DE-44A3-AB84-50B9DE3EB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
    <w:name w:val="heading 1"/>
    <w:basedOn w:val="Normale"/>
    <w:next w:val="Normale"/>
    <w:link w:val="Titolo1Carattere"/>
    <w:uiPriority w:val="99"/>
    <w:qFormat/>
    <w:rsid w:val="00EA7DC8"/>
    <w:pPr>
      <w:keepNext/>
      <w:keepLines/>
      <w:spacing w:before="280" w:after="120" w:line="276" w:lineRule="auto"/>
      <w:jc w:val="both"/>
      <w:outlineLvl w:val="0"/>
    </w:pPr>
    <w:rPr>
      <w:rFonts w:ascii="Arial" w:eastAsia="Arial" w:hAnsi="Arial" w:cs="Arial"/>
      <w:b/>
      <w:sz w:val="40"/>
      <w:szCs w:val="40"/>
      <w:lang w:val="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7B6315"/>
    <w:pPr>
      <w:jc w:val="both"/>
    </w:pPr>
    <w:rPr>
      <w:szCs w:val="20"/>
      <w:lang w:bidi="he-IL"/>
    </w:rPr>
  </w:style>
  <w:style w:type="paragraph" w:styleId="Paragrafoelenco">
    <w:name w:val="List Paragraph"/>
    <w:basedOn w:val="Normale"/>
    <w:qFormat/>
    <w:rsid w:val="00BC44B0"/>
    <w:pPr>
      <w:ind w:left="720"/>
      <w:contextualSpacing/>
    </w:pPr>
  </w:style>
  <w:style w:type="table" w:styleId="Grigliatabella">
    <w:name w:val="Table Grid"/>
    <w:basedOn w:val="Tabellanormale"/>
    <w:rsid w:val="00DE03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1F6A33"/>
    <w:pPr>
      <w:tabs>
        <w:tab w:val="center" w:pos="4819"/>
        <w:tab w:val="right" w:pos="9638"/>
      </w:tabs>
    </w:pPr>
  </w:style>
  <w:style w:type="paragraph" w:styleId="Pidipagina">
    <w:name w:val="footer"/>
    <w:basedOn w:val="Normale"/>
    <w:rsid w:val="001F6A33"/>
    <w:pPr>
      <w:tabs>
        <w:tab w:val="center" w:pos="4819"/>
        <w:tab w:val="right" w:pos="9638"/>
      </w:tabs>
    </w:pPr>
  </w:style>
  <w:style w:type="character" w:styleId="Numeropagina">
    <w:name w:val="page number"/>
    <w:basedOn w:val="Carpredefinitoparagrafo"/>
    <w:rsid w:val="00FD477D"/>
  </w:style>
  <w:style w:type="character" w:styleId="Collegamentoipertestuale">
    <w:name w:val="Hyperlink"/>
    <w:uiPriority w:val="99"/>
    <w:rsid w:val="00805EDD"/>
    <w:rPr>
      <w:color w:val="0000FF"/>
      <w:u w:val="single"/>
    </w:rPr>
  </w:style>
  <w:style w:type="paragraph" w:styleId="Sommario1">
    <w:name w:val="toc 1"/>
    <w:basedOn w:val="Normale"/>
    <w:next w:val="Normale"/>
    <w:autoRedefine/>
    <w:uiPriority w:val="39"/>
    <w:qFormat/>
    <w:rsid w:val="00EA7DC8"/>
    <w:pPr>
      <w:tabs>
        <w:tab w:val="right" w:leader="dot" w:pos="9630"/>
      </w:tabs>
      <w:ind w:left="426"/>
      <w:jc w:val="both"/>
    </w:pPr>
  </w:style>
  <w:style w:type="paragraph" w:styleId="Sommario2">
    <w:name w:val="toc 2"/>
    <w:basedOn w:val="Normale"/>
    <w:next w:val="Normale"/>
    <w:autoRedefine/>
    <w:uiPriority w:val="39"/>
    <w:unhideWhenUsed/>
    <w:rsid w:val="00EA7DC8"/>
    <w:pPr>
      <w:spacing w:after="100" w:line="276" w:lineRule="auto"/>
      <w:ind w:left="220"/>
      <w:jc w:val="both"/>
    </w:pPr>
    <w:rPr>
      <w:rFonts w:ascii="Arial" w:eastAsia="Arial" w:hAnsi="Arial" w:cs="Arial"/>
      <w:sz w:val="22"/>
      <w:szCs w:val="22"/>
      <w:lang w:val="it"/>
    </w:rPr>
  </w:style>
  <w:style w:type="paragraph" w:styleId="Sommario3">
    <w:name w:val="toc 3"/>
    <w:basedOn w:val="Normale"/>
    <w:next w:val="Normale"/>
    <w:autoRedefine/>
    <w:uiPriority w:val="39"/>
    <w:unhideWhenUsed/>
    <w:rsid w:val="00EA7DC8"/>
    <w:pPr>
      <w:spacing w:after="100" w:line="276" w:lineRule="auto"/>
      <w:ind w:left="440"/>
      <w:jc w:val="both"/>
    </w:pPr>
    <w:rPr>
      <w:rFonts w:ascii="Arial" w:eastAsia="Arial" w:hAnsi="Arial" w:cs="Arial"/>
      <w:sz w:val="22"/>
      <w:szCs w:val="22"/>
      <w:lang w:val="it"/>
    </w:rPr>
  </w:style>
  <w:style w:type="character" w:customStyle="1" w:styleId="Titolo1Carattere">
    <w:name w:val="Titolo 1 Carattere"/>
    <w:link w:val="Titolo1"/>
    <w:uiPriority w:val="99"/>
    <w:rsid w:val="00EA7DC8"/>
    <w:rPr>
      <w:rFonts w:ascii="Arial" w:eastAsia="Arial" w:hAnsi="Arial" w:cs="Arial"/>
      <w:b/>
      <w:sz w:val="40"/>
      <w:szCs w:val="40"/>
      <w:lang w:val="it"/>
    </w:rPr>
  </w:style>
  <w:style w:type="character" w:styleId="Menzionenonrisolta">
    <w:name w:val="Unresolved Mention"/>
    <w:uiPriority w:val="99"/>
    <w:semiHidden/>
    <w:unhideWhenUsed/>
    <w:rsid w:val="0085557C"/>
    <w:rPr>
      <w:color w:val="605E5C"/>
      <w:shd w:val="clear" w:color="auto" w:fill="E1DFDD"/>
    </w:rPr>
  </w:style>
  <w:style w:type="table" w:styleId="Tabellagriglia4-colore1">
    <w:name w:val="Grid Table 4 Accent 1"/>
    <w:basedOn w:val="Tabellanormale"/>
    <w:uiPriority w:val="49"/>
    <w:rsid w:val="00952566"/>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customStyle="1" w:styleId="Tabellaelenco3-colore51">
    <w:name w:val="Tabella elenco 3 - colore 51"/>
    <w:basedOn w:val="Tabellanormale"/>
    <w:uiPriority w:val="48"/>
    <w:rsid w:val="00C748D7"/>
    <w:rPr>
      <w:rFonts w:asciiTheme="minorHAnsi" w:eastAsiaTheme="minorHAnsi" w:hAnsiTheme="minorHAnsi" w:cstheme="minorBidi"/>
      <w:sz w:val="22"/>
      <w:szCs w:val="22"/>
      <w:lang w:eastAsia="en-US"/>
    </w:rPr>
    <w:tblPr>
      <w:tblStyleRowBandSize w:val="1"/>
      <w:tblStyleColBandSize w:val="1"/>
      <w:tblBorders>
        <w:top w:val="single" w:sz="4" w:space="0" w:color="008000"/>
        <w:left w:val="single" w:sz="4" w:space="0" w:color="008000"/>
        <w:bottom w:val="single" w:sz="4" w:space="0" w:color="008000"/>
        <w:right w:val="single" w:sz="4" w:space="0" w:color="008000"/>
      </w:tblBorders>
    </w:tblPr>
    <w:tcPr>
      <w:shd w:val="clear" w:color="auto" w:fill="auto"/>
    </w:tcPr>
    <w:tblStylePr w:type="firstRow">
      <w:rPr>
        <w:b/>
        <w:bCs/>
        <w:color w:val="FFFFFF" w:themeColor="background1"/>
      </w:rPr>
      <w:tblPr/>
      <w:tcPr>
        <w:shd w:val="clear" w:color="auto" w:fill="A02B93" w:themeFill="accent5"/>
      </w:tcPr>
    </w:tblStylePr>
    <w:tblStylePr w:type="lastRow">
      <w:rPr>
        <w:b/>
        <w:bCs/>
      </w:rPr>
      <w:tblPr/>
      <w:tcPr>
        <w:tcBorders>
          <w:top w:val="double" w:sz="4" w:space="0" w:color="A02B9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02B93" w:themeColor="accent5"/>
          <w:right w:val="single" w:sz="4" w:space="0" w:color="A02B93" w:themeColor="accent5"/>
        </w:tcBorders>
      </w:tcPr>
    </w:tblStylePr>
    <w:tblStylePr w:type="band1Horz">
      <w:tblPr/>
      <w:tcPr>
        <w:tcBorders>
          <w:top w:val="single" w:sz="4" w:space="0" w:color="A02B93" w:themeColor="accent5"/>
          <w:bottom w:val="single" w:sz="4" w:space="0" w:color="A02B9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02B93" w:themeColor="accent5"/>
          <w:left w:val="nil"/>
        </w:tcBorders>
      </w:tcPr>
    </w:tblStylePr>
    <w:tblStylePr w:type="swCell">
      <w:tblPr/>
      <w:tcPr>
        <w:tcBorders>
          <w:top w:val="double" w:sz="4" w:space="0" w:color="A02B93" w:themeColor="accent5"/>
          <w:right w:val="nil"/>
        </w:tcBorders>
      </w:tcPr>
    </w:tblStylePr>
  </w:style>
  <w:style w:type="paragraph" w:styleId="Nessunaspaziatura">
    <w:name w:val="No Spacing"/>
    <w:uiPriority w:val="1"/>
    <w:qFormat/>
    <w:rsid w:val="0098382E"/>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1662">
      <w:bodyDiv w:val="1"/>
      <w:marLeft w:val="0"/>
      <w:marRight w:val="0"/>
      <w:marTop w:val="0"/>
      <w:marBottom w:val="0"/>
      <w:divBdr>
        <w:top w:val="none" w:sz="0" w:space="0" w:color="auto"/>
        <w:left w:val="none" w:sz="0" w:space="0" w:color="auto"/>
        <w:bottom w:val="none" w:sz="0" w:space="0" w:color="auto"/>
        <w:right w:val="none" w:sz="0" w:space="0" w:color="auto"/>
      </w:divBdr>
    </w:div>
    <w:div w:id="318465061">
      <w:bodyDiv w:val="1"/>
      <w:marLeft w:val="0"/>
      <w:marRight w:val="0"/>
      <w:marTop w:val="0"/>
      <w:marBottom w:val="0"/>
      <w:divBdr>
        <w:top w:val="none" w:sz="0" w:space="0" w:color="auto"/>
        <w:left w:val="none" w:sz="0" w:space="0" w:color="auto"/>
        <w:bottom w:val="none" w:sz="0" w:space="0" w:color="auto"/>
        <w:right w:val="none" w:sz="0" w:space="0" w:color="auto"/>
      </w:divBdr>
    </w:div>
    <w:div w:id="766854177">
      <w:bodyDiv w:val="1"/>
      <w:marLeft w:val="0"/>
      <w:marRight w:val="0"/>
      <w:marTop w:val="0"/>
      <w:marBottom w:val="0"/>
      <w:divBdr>
        <w:top w:val="none" w:sz="0" w:space="0" w:color="auto"/>
        <w:left w:val="none" w:sz="0" w:space="0" w:color="auto"/>
        <w:bottom w:val="none" w:sz="0" w:space="0" w:color="auto"/>
        <w:right w:val="none" w:sz="0" w:space="0" w:color="auto"/>
      </w:divBdr>
    </w:div>
    <w:div w:id="858936233">
      <w:bodyDiv w:val="1"/>
      <w:marLeft w:val="0"/>
      <w:marRight w:val="0"/>
      <w:marTop w:val="0"/>
      <w:marBottom w:val="0"/>
      <w:divBdr>
        <w:top w:val="none" w:sz="0" w:space="0" w:color="auto"/>
        <w:left w:val="none" w:sz="0" w:space="0" w:color="auto"/>
        <w:bottom w:val="none" w:sz="0" w:space="0" w:color="auto"/>
        <w:right w:val="none" w:sz="0" w:space="0" w:color="auto"/>
      </w:divBdr>
    </w:div>
    <w:div w:id="1330795165">
      <w:bodyDiv w:val="1"/>
      <w:marLeft w:val="0"/>
      <w:marRight w:val="0"/>
      <w:marTop w:val="0"/>
      <w:marBottom w:val="0"/>
      <w:divBdr>
        <w:top w:val="none" w:sz="0" w:space="0" w:color="auto"/>
        <w:left w:val="none" w:sz="0" w:space="0" w:color="auto"/>
        <w:bottom w:val="none" w:sz="0" w:space="0" w:color="auto"/>
        <w:right w:val="none" w:sz="0" w:space="0" w:color="auto"/>
      </w:divBdr>
    </w:div>
    <w:div w:id="1538617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package" Target="embeddings/Microsoft_Excel_Worksheet3.xlsx"/><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pontiroloonlus.it/" TargetMode="External"/><Relationship Id="rId7" Type="http://schemas.openxmlformats.org/officeDocument/2006/relationships/endnotes" Target="endnotes.xml"/><Relationship Id="rId12" Type="http://schemas.openxmlformats.org/officeDocument/2006/relationships/package" Target="embeddings/Microsoft_Excel_Worksheet1.xlsx"/><Relationship Id="rId17" Type="http://schemas.openxmlformats.org/officeDocument/2006/relationships/image" Target="media/image7.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package" Target="embeddings/Microsoft_Excel_Worksheet2.xlsx"/><Relationship Id="rId20" Type="http://schemas.openxmlformats.org/officeDocument/2006/relationships/hyperlink" Target="https://www.farmaciamilanofiori.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yperlink" Target="http://www.comune.assago.mi.it" TargetMode="Externa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hyperlink" Target="https://www.afolmet.it/" TargetMode="External"/><Relationship Id="rId10" Type="http://schemas.openxmlformats.org/officeDocument/2006/relationships/package" Target="embeddings/Microsoft_Excel_Worksheet.xlsx"/><Relationship Id="rId19" Type="http://schemas.openxmlformats.org/officeDocument/2006/relationships/hyperlink" Target="https://www.gruppocap.it/"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png"/><Relationship Id="rId22" Type="http://schemas.openxmlformats.org/officeDocument/2006/relationships/hyperlink" Target="https://www.fondazioneperleggere.it/" TargetMode="External"/><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F26F7F-800A-40FE-A702-C01818665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4594</Words>
  <Characters>28404</Characters>
  <Application>Microsoft Office Word</Application>
  <DocSecurity>0</DocSecurity>
  <Lines>236</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32933</CharactersWithSpaces>
  <SharedDoc>false</SharedDoc>
  <HLinks>
    <vt:vector size="6" baseType="variant">
      <vt:variant>
        <vt:i4>3539051</vt:i4>
      </vt:variant>
      <vt:variant>
        <vt:i4>0</vt:i4>
      </vt:variant>
      <vt:variant>
        <vt:i4>0</vt:i4>
      </vt:variant>
      <vt:variant>
        <vt:i4>5</vt:i4>
      </vt:variant>
      <vt:variant>
        <vt:lpwstr>http://www.comune.buccinasco.mi.it/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dc:creator>
  <cp:keywords/>
  <cp:lastModifiedBy>Rosa  Elia</cp:lastModifiedBy>
  <cp:revision>50</cp:revision>
  <dcterms:created xsi:type="dcterms:W3CDTF">2025-11-03T15:12:00Z</dcterms:created>
  <dcterms:modified xsi:type="dcterms:W3CDTF">2025-12-04T11:21:00Z</dcterms:modified>
</cp:coreProperties>
</file>